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020F" w14:textId="77777777" w:rsidR="0090299C" w:rsidRDefault="00C03040">
      <w:pPr>
        <w:pStyle w:val="Corpsdetexte"/>
        <w:rPr>
          <w:b/>
          <w:bCs/>
          <w:sz w:val="28"/>
          <w:szCs w:val="28"/>
        </w:rPr>
      </w:pPr>
      <w:r>
        <w:rPr>
          <w:rFonts w:ascii="Arial;Helvetica;sans-serif" w:hAnsi="Arial;Helvetica;sans-serif"/>
          <w:b/>
          <w:bCs/>
          <w:color w:val="222222"/>
          <w:sz w:val="28"/>
          <w:szCs w:val="28"/>
        </w:rPr>
        <w:t>0-4 Aide à la rédaction du contrat du CSPS en lien avec la MECM</w:t>
      </w:r>
    </w:p>
    <w:p w14:paraId="61EFDE9A" w14:textId="77777777" w:rsidR="0090299C" w:rsidRDefault="0090299C">
      <w:pPr>
        <w:rPr>
          <w:b/>
          <w:bCs/>
          <w:sz w:val="28"/>
          <w:szCs w:val="28"/>
        </w:rPr>
      </w:pPr>
    </w:p>
    <w:p w14:paraId="4483B5B5" w14:textId="5C8BCFD9" w:rsidR="00311EDC" w:rsidRPr="00311EDC" w:rsidRDefault="00311EDC" w:rsidP="00311EDC">
      <w:pPr>
        <w:spacing w:after="0"/>
        <w:jc w:val="both"/>
        <w:rPr>
          <w:b/>
          <w:bCs/>
          <w:i/>
          <w:iCs/>
        </w:rPr>
      </w:pPr>
      <w:r w:rsidRPr="00311EDC">
        <w:rPr>
          <w:b/>
          <w:bCs/>
          <w:i/>
          <w:iCs/>
        </w:rPr>
        <w:t>Mission de Coordination SPS :</w:t>
      </w:r>
      <w:r>
        <w:rPr>
          <w:b/>
          <w:bCs/>
          <w:i/>
          <w:iCs/>
        </w:rPr>
        <w:t xml:space="preserve"> Relation contractuelle</w:t>
      </w:r>
    </w:p>
    <w:p w14:paraId="4A3B9C07" w14:textId="60C6C516" w:rsidR="0090299C" w:rsidRDefault="00C03040" w:rsidP="00311EDC">
      <w:pPr>
        <w:spacing w:after="0"/>
        <w:jc w:val="both"/>
      </w:pPr>
      <w:r>
        <w:t xml:space="preserve">La mission de coordination SPS repose sur un </w:t>
      </w:r>
      <w:r w:rsidRPr="0061628B">
        <w:rPr>
          <w:b/>
          <w:bCs/>
          <w:i/>
          <w:iCs/>
        </w:rPr>
        <w:t>contrat conclu entre</w:t>
      </w:r>
      <w:r>
        <w:t xml:space="preserve"> le maître d’ouvrage et le coordonnateur SPS.</w:t>
      </w:r>
    </w:p>
    <w:p w14:paraId="6BDD8977" w14:textId="77777777" w:rsidR="0090299C" w:rsidRDefault="00C03040" w:rsidP="00311EDC">
      <w:pPr>
        <w:spacing w:after="0"/>
        <w:jc w:val="both"/>
      </w:pPr>
      <w:r>
        <w:t xml:space="preserve">Ce contrat définit les </w:t>
      </w:r>
      <w:r w:rsidRPr="0061628B">
        <w:rPr>
          <w:b/>
          <w:bCs/>
          <w:i/>
          <w:iCs/>
        </w:rPr>
        <w:t>moyens accordés au CSPS</w:t>
      </w:r>
      <w:r>
        <w:t xml:space="preserve"> et lui donne </w:t>
      </w:r>
      <w:r w:rsidRPr="0061628B">
        <w:rPr>
          <w:b/>
          <w:bCs/>
          <w:i/>
          <w:iCs/>
        </w:rPr>
        <w:t>l’autorité nécessaire</w:t>
      </w:r>
      <w:r>
        <w:t xml:space="preserve"> pour réaliser sa mission.</w:t>
      </w:r>
    </w:p>
    <w:p w14:paraId="2CEF7AAA" w14:textId="77777777" w:rsidR="0090299C" w:rsidRDefault="00C03040" w:rsidP="00311EDC">
      <w:pPr>
        <w:spacing w:after="0"/>
        <w:jc w:val="both"/>
      </w:pPr>
      <w:r>
        <w:t xml:space="preserve">Le MOA établira les </w:t>
      </w:r>
      <w:r w:rsidRPr="00311EDC">
        <w:rPr>
          <w:b/>
          <w:bCs/>
          <w:i/>
          <w:iCs/>
        </w:rPr>
        <w:t>modalités de coopération</w:t>
      </w:r>
      <w:r>
        <w:t xml:space="preserve"> entre le CSPS, le MOE, et lui-même.</w:t>
      </w:r>
    </w:p>
    <w:p w14:paraId="28157BBF" w14:textId="77777777" w:rsidR="00311EDC" w:rsidRDefault="00311EDC" w:rsidP="00311EDC">
      <w:pPr>
        <w:spacing w:after="0"/>
        <w:jc w:val="both"/>
      </w:pPr>
    </w:p>
    <w:p w14:paraId="37ACCE91" w14:textId="7A2D70A6" w:rsidR="00311EDC" w:rsidRDefault="00311EDC" w:rsidP="00311EDC">
      <w:pPr>
        <w:spacing w:after="0"/>
        <w:jc w:val="both"/>
      </w:pPr>
      <w:r w:rsidRPr="00311EDC">
        <w:rPr>
          <w:b/>
          <w:bCs/>
          <w:i/>
          <w:iCs/>
        </w:rPr>
        <w:t>Références normatives</w:t>
      </w:r>
      <w:r>
        <w:t> :</w:t>
      </w:r>
    </w:p>
    <w:p w14:paraId="7A419CE7" w14:textId="77777777" w:rsidR="0090299C" w:rsidRDefault="00C03040" w:rsidP="00311EDC">
      <w:pPr>
        <w:spacing w:after="0"/>
        <w:jc w:val="both"/>
      </w:pPr>
      <w:r>
        <w:t xml:space="preserve">La mission du CSPS est régi par le </w:t>
      </w:r>
      <w:r>
        <w:rPr>
          <w:b/>
          <w:bCs/>
        </w:rPr>
        <w:t>code du travail</w:t>
      </w:r>
      <w:r>
        <w:t xml:space="preserve"> notamment par :</w:t>
      </w:r>
    </w:p>
    <w:p w14:paraId="422D3F42" w14:textId="77777777" w:rsidR="0090299C" w:rsidRDefault="00C03040" w:rsidP="00311EDC">
      <w:pPr>
        <w:pStyle w:val="Paragraphedeliste"/>
        <w:numPr>
          <w:ilvl w:val="0"/>
          <w:numId w:val="1"/>
        </w:numPr>
        <w:spacing w:after="0"/>
        <w:jc w:val="both"/>
      </w:pPr>
      <w:r>
        <w:t>Articles L4532-2 et suivants, Article L4531-1 et suivants.</w:t>
      </w:r>
    </w:p>
    <w:p w14:paraId="5CE08BD6" w14:textId="655DF682" w:rsidR="0090299C" w:rsidRDefault="00C03040" w:rsidP="00311EDC">
      <w:pPr>
        <w:spacing w:after="0"/>
        <w:jc w:val="both"/>
      </w:pPr>
      <w:r>
        <w:t xml:space="preserve">Elle est précisée par la norme </w:t>
      </w:r>
      <w:r w:rsidRPr="00311EDC">
        <w:rPr>
          <w:b/>
          <w:bCs/>
        </w:rPr>
        <w:t>NF P99-600</w:t>
      </w:r>
      <w:r>
        <w:t xml:space="preserve"> de 2016</w:t>
      </w:r>
      <w:r w:rsidR="00311EDC">
        <w:t>, disponible sur :</w:t>
      </w:r>
    </w:p>
    <w:p w14:paraId="2D6167CF" w14:textId="77777777" w:rsidR="0090299C" w:rsidRDefault="00C03040" w:rsidP="00311EDC">
      <w:pPr>
        <w:spacing w:after="0"/>
        <w:jc w:val="both"/>
      </w:pPr>
      <w:hyperlink r:id="rId7">
        <w:r>
          <w:rPr>
            <w:rStyle w:val="LienInternet"/>
          </w:rPr>
          <w:t>https://www.boutique.afnor.org/fr-fr/norme/nf-p99600/coordonnateurs-sps-bonnes-pratiques-de-consultation-et-devaluation-des-offr/fa178410/1582</w:t>
        </w:r>
      </w:hyperlink>
    </w:p>
    <w:p w14:paraId="0201A2BC" w14:textId="77777777" w:rsidR="00311EDC" w:rsidRDefault="00311EDC" w:rsidP="00311EDC">
      <w:pPr>
        <w:spacing w:after="0"/>
        <w:jc w:val="both"/>
      </w:pPr>
    </w:p>
    <w:p w14:paraId="0CD84C97" w14:textId="793F0722" w:rsidR="0090299C" w:rsidRDefault="00C03040" w:rsidP="00311EDC">
      <w:pPr>
        <w:spacing w:after="0"/>
        <w:jc w:val="both"/>
      </w:pPr>
      <w:r>
        <w:t xml:space="preserve">Ce document s’applique aux maîtres d’ouvrage. </w:t>
      </w:r>
      <w:r w:rsidRPr="00311EDC">
        <w:rPr>
          <w:b/>
          <w:bCs/>
          <w:i/>
          <w:iCs/>
        </w:rPr>
        <w:t>Il facilite l’élaboration de la phase de consultation et d’évaluation des offres de coordination</w:t>
      </w:r>
      <w:r>
        <w:t xml:space="preserve"> en matière de sécurité et de protection de la santé (SPS).</w:t>
      </w:r>
    </w:p>
    <w:p w14:paraId="60FEEEE8" w14:textId="77777777" w:rsidR="0090299C" w:rsidRDefault="00C03040" w:rsidP="00311EDC">
      <w:pPr>
        <w:spacing w:after="0"/>
        <w:jc w:val="both"/>
      </w:pPr>
      <w:r>
        <w:t>Son application peut être demandée dans les pièces écrites contractuelles.</w:t>
      </w:r>
    </w:p>
    <w:p w14:paraId="2F202102" w14:textId="77777777" w:rsidR="0090299C" w:rsidRDefault="00C03040" w:rsidP="00311EDC">
      <w:pPr>
        <w:spacing w:after="0"/>
        <w:jc w:val="both"/>
      </w:pPr>
      <w:r>
        <w:t xml:space="preserve">Elle présente de </w:t>
      </w:r>
      <w:r w:rsidRPr="00311EDC">
        <w:rPr>
          <w:b/>
          <w:bCs/>
          <w:i/>
          <w:iCs/>
        </w:rPr>
        <w:t>bonnes pratiques de consultation et d'évaluation des offres de coordonnateurs</w:t>
      </w:r>
      <w:r>
        <w:t xml:space="preserve"> sécurité et protection de la santé à l'attention des maîtres d'ouvrage avec plusieurs documents pratiques en annexes.</w:t>
      </w:r>
    </w:p>
    <w:p w14:paraId="7E9F24B0" w14:textId="77777777" w:rsidR="0090299C" w:rsidRDefault="0090299C" w:rsidP="00311EDC">
      <w:pPr>
        <w:spacing w:after="0"/>
        <w:jc w:val="both"/>
      </w:pPr>
    </w:p>
    <w:p w14:paraId="76B86AF1" w14:textId="135C2397" w:rsidR="00311EDC" w:rsidRDefault="0061628B" w:rsidP="00311EDC">
      <w:pPr>
        <w:spacing w:after="0"/>
        <w:jc w:val="both"/>
      </w:pPr>
      <w:r w:rsidRPr="0061628B">
        <w:rPr>
          <w:b/>
          <w:bCs/>
          <w:i/>
          <w:iCs/>
        </w:rPr>
        <w:t>Référence du club des coordonnateurs SPS</w:t>
      </w:r>
      <w:r>
        <w:t> :</w:t>
      </w:r>
    </w:p>
    <w:p w14:paraId="1258BB29" w14:textId="2FF00FD1" w:rsidR="0090299C" w:rsidRPr="0061628B" w:rsidRDefault="00C03040" w:rsidP="00311EDC">
      <w:pPr>
        <w:spacing w:after="0"/>
        <w:jc w:val="both"/>
      </w:pPr>
      <w:r>
        <w:t>Le club des coordonnateurs SPS animé par la CARSAT RA a établi un document téléchargeable sur le site internet de la CARSAT RA :</w:t>
      </w:r>
      <w:r w:rsidR="0061628B">
        <w:t xml:space="preserve"> </w:t>
      </w:r>
      <w:r>
        <w:rPr>
          <w:b/>
          <w:bCs/>
        </w:rPr>
        <w:t>SP 1127</w:t>
      </w:r>
    </w:p>
    <w:p w14:paraId="7110C857" w14:textId="77777777" w:rsidR="0090299C" w:rsidRDefault="00C03040" w:rsidP="00311EDC">
      <w:pPr>
        <w:spacing w:after="0"/>
        <w:jc w:val="both"/>
      </w:pPr>
      <w:hyperlink r:id="rId8" w:tgtFrame="_blank">
        <w:r>
          <w:rPr>
            <w:rStyle w:val="LienInternet"/>
          </w:rPr>
          <w:t>La mission de coordination SPS - Le rôle du maître d'ouvrage- SP 1127 (PDF, 525 Ko)</w:t>
        </w:r>
      </w:hyperlink>
    </w:p>
    <w:p w14:paraId="149D1F9E" w14:textId="77777777" w:rsidR="0061628B" w:rsidRDefault="0061628B" w:rsidP="00311EDC">
      <w:pPr>
        <w:spacing w:after="0"/>
        <w:jc w:val="both"/>
      </w:pPr>
    </w:p>
    <w:p w14:paraId="2BE2B781" w14:textId="279B872A" w:rsidR="0090299C" w:rsidRDefault="00C03040" w:rsidP="00311EDC">
      <w:pPr>
        <w:spacing w:after="0"/>
        <w:jc w:val="both"/>
      </w:pPr>
      <w:r>
        <w:t>L’objectif de cette brochure SP1127 actualisée est multiple :</w:t>
      </w:r>
    </w:p>
    <w:p w14:paraId="19734AF7" w14:textId="1A260467" w:rsidR="0090299C" w:rsidRDefault="0061628B" w:rsidP="0061628B">
      <w:pPr>
        <w:pStyle w:val="Paragraphedeliste"/>
        <w:numPr>
          <w:ilvl w:val="0"/>
          <w:numId w:val="1"/>
        </w:numPr>
        <w:spacing w:after="0"/>
        <w:jc w:val="both"/>
      </w:pPr>
      <w:r w:rsidRPr="0061628B">
        <w:rPr>
          <w:b/>
          <w:bCs/>
          <w:i/>
          <w:iCs/>
        </w:rPr>
        <w:t>M</w:t>
      </w:r>
      <w:r w:rsidR="00C03040" w:rsidRPr="0061628B">
        <w:rPr>
          <w:b/>
          <w:bCs/>
          <w:i/>
          <w:iCs/>
        </w:rPr>
        <w:t xml:space="preserve">ettre en avant le rôle important du maître </w:t>
      </w:r>
      <w:r w:rsidR="00311EDC" w:rsidRPr="0061628B">
        <w:rPr>
          <w:b/>
          <w:bCs/>
          <w:i/>
          <w:iCs/>
        </w:rPr>
        <w:t>d’ouvrage</w:t>
      </w:r>
      <w:r w:rsidR="00311EDC">
        <w:t>,</w:t>
      </w:r>
      <w:r w:rsidR="00C03040">
        <w:t xml:space="preserve"> chef d’orchestre de la</w:t>
      </w:r>
      <w:r w:rsidR="00311EDC">
        <w:t xml:space="preserve"> mission</w:t>
      </w:r>
      <w:r w:rsidR="00C03040">
        <w:t xml:space="preserve"> de coordination SPS à tous ses stades et vis à vis de tous les acteurs ;</w:t>
      </w:r>
    </w:p>
    <w:p w14:paraId="2E5E01F1" w14:textId="714F414A" w:rsidR="0090299C" w:rsidRDefault="0061628B" w:rsidP="00311EDC">
      <w:pPr>
        <w:pStyle w:val="Paragraphedeliste"/>
        <w:numPr>
          <w:ilvl w:val="0"/>
          <w:numId w:val="1"/>
        </w:numPr>
        <w:spacing w:after="0"/>
        <w:jc w:val="both"/>
      </w:pPr>
      <w:r w:rsidRPr="0061628B">
        <w:rPr>
          <w:b/>
          <w:bCs/>
        </w:rPr>
        <w:t>P</w:t>
      </w:r>
      <w:r w:rsidR="00C03040" w:rsidRPr="0061628B">
        <w:rPr>
          <w:b/>
          <w:bCs/>
        </w:rPr>
        <w:t>ositionner la coopération entre le maître d’œuvre et le coordonnateur SPS</w:t>
      </w:r>
      <w:r w:rsidR="00C03040">
        <w:t>, comm</w:t>
      </w:r>
      <w:r w:rsidR="00311EDC">
        <w:t>e</w:t>
      </w:r>
      <w:r>
        <w:t xml:space="preserve"> </w:t>
      </w:r>
      <w:r w:rsidR="00C03040">
        <w:t>un point d’exigence dans le déroulement de la mission de coordination SPS.</w:t>
      </w:r>
    </w:p>
    <w:p w14:paraId="4C88E41B" w14:textId="4DDBD3F1" w:rsidR="0090299C" w:rsidRPr="0061628B" w:rsidRDefault="0061628B" w:rsidP="00311EDC">
      <w:pPr>
        <w:pStyle w:val="Paragraphedeliste"/>
        <w:numPr>
          <w:ilvl w:val="0"/>
          <w:numId w:val="1"/>
        </w:numPr>
        <w:spacing w:after="0"/>
        <w:jc w:val="both"/>
        <w:rPr>
          <w:b/>
          <w:bCs/>
          <w:i/>
          <w:iCs/>
        </w:rPr>
      </w:pPr>
      <w:r w:rsidRPr="0061628B">
        <w:rPr>
          <w:b/>
          <w:bCs/>
          <w:i/>
          <w:iCs/>
        </w:rPr>
        <w:t>I</w:t>
      </w:r>
      <w:r w:rsidR="00C03040" w:rsidRPr="0061628B">
        <w:rPr>
          <w:b/>
          <w:bCs/>
          <w:i/>
          <w:iCs/>
        </w:rPr>
        <w:t>nciter à bâtir un projet intégrant la prévention des risques</w:t>
      </w:r>
      <w:r w:rsidR="00C03040">
        <w:t xml:space="preserve"> professionnels </w:t>
      </w:r>
      <w:r w:rsidR="00C03040" w:rsidRPr="0061628B">
        <w:rPr>
          <w:b/>
          <w:bCs/>
          <w:i/>
          <w:iCs/>
        </w:rPr>
        <w:t>dès</w:t>
      </w:r>
      <w:r w:rsidRPr="0061628B">
        <w:rPr>
          <w:b/>
          <w:bCs/>
          <w:i/>
          <w:iCs/>
        </w:rPr>
        <w:t xml:space="preserve"> </w:t>
      </w:r>
      <w:r w:rsidR="00C03040" w:rsidRPr="0061628B">
        <w:rPr>
          <w:b/>
          <w:bCs/>
          <w:i/>
          <w:iCs/>
        </w:rPr>
        <w:t>la phase de conception.</w:t>
      </w:r>
    </w:p>
    <w:p w14:paraId="3AA3BAB2" w14:textId="31BD58D6" w:rsidR="0090299C" w:rsidRDefault="00C03040" w:rsidP="0061628B">
      <w:pPr>
        <w:pStyle w:val="Paragraphedeliste"/>
        <w:numPr>
          <w:ilvl w:val="0"/>
          <w:numId w:val="1"/>
        </w:numPr>
        <w:spacing w:after="0"/>
        <w:jc w:val="both"/>
      </w:pPr>
      <w:r>
        <w:t xml:space="preserve">Proposer des </w:t>
      </w:r>
      <w:r w:rsidRPr="0061628B">
        <w:rPr>
          <w:b/>
          <w:bCs/>
          <w:i/>
          <w:iCs/>
        </w:rPr>
        <w:t>outils pratiques</w:t>
      </w:r>
      <w:r>
        <w:t>.</w:t>
      </w:r>
    </w:p>
    <w:p w14:paraId="363E252B" w14:textId="77777777" w:rsidR="0090299C" w:rsidRDefault="0090299C" w:rsidP="00311EDC">
      <w:pPr>
        <w:spacing w:after="0"/>
        <w:jc w:val="both"/>
      </w:pPr>
    </w:p>
    <w:p w14:paraId="69F43303" w14:textId="77777777" w:rsidR="00A1592A" w:rsidRDefault="00A1592A" w:rsidP="00311EDC">
      <w:pPr>
        <w:spacing w:after="0"/>
        <w:jc w:val="both"/>
        <w:rPr>
          <w:b/>
          <w:bCs/>
          <w:i/>
          <w:iCs/>
        </w:rPr>
      </w:pPr>
    </w:p>
    <w:p w14:paraId="71149318" w14:textId="77777777" w:rsidR="00A1592A" w:rsidRDefault="00A1592A" w:rsidP="00311EDC">
      <w:pPr>
        <w:spacing w:after="0"/>
        <w:jc w:val="both"/>
        <w:rPr>
          <w:b/>
          <w:bCs/>
          <w:i/>
          <w:iCs/>
        </w:rPr>
      </w:pPr>
    </w:p>
    <w:p w14:paraId="0B8D2878" w14:textId="77777777" w:rsidR="00A1592A" w:rsidRDefault="00A1592A" w:rsidP="00311EDC">
      <w:pPr>
        <w:spacing w:after="0"/>
        <w:jc w:val="both"/>
        <w:rPr>
          <w:b/>
          <w:bCs/>
          <w:i/>
          <w:iCs/>
        </w:rPr>
      </w:pPr>
    </w:p>
    <w:p w14:paraId="2606C2A2" w14:textId="77777777" w:rsidR="00A1592A" w:rsidRDefault="00A1592A" w:rsidP="00311EDC">
      <w:pPr>
        <w:spacing w:after="0"/>
        <w:jc w:val="both"/>
        <w:rPr>
          <w:b/>
          <w:bCs/>
          <w:i/>
          <w:iCs/>
        </w:rPr>
      </w:pPr>
    </w:p>
    <w:p w14:paraId="0C999BC4" w14:textId="77777777" w:rsidR="00A1592A" w:rsidRDefault="00A1592A" w:rsidP="00311EDC">
      <w:pPr>
        <w:spacing w:after="0"/>
        <w:jc w:val="both"/>
        <w:rPr>
          <w:b/>
          <w:bCs/>
          <w:i/>
          <w:iCs/>
        </w:rPr>
      </w:pPr>
    </w:p>
    <w:p w14:paraId="2B24CADD" w14:textId="77777777" w:rsidR="00A1592A" w:rsidRDefault="00A1592A" w:rsidP="00311EDC">
      <w:pPr>
        <w:spacing w:after="0"/>
        <w:jc w:val="both"/>
        <w:rPr>
          <w:b/>
          <w:bCs/>
          <w:i/>
          <w:iCs/>
        </w:rPr>
      </w:pPr>
    </w:p>
    <w:p w14:paraId="0BD5D818" w14:textId="77777777" w:rsidR="00A1592A" w:rsidRDefault="00A1592A" w:rsidP="00311EDC">
      <w:pPr>
        <w:spacing w:after="0"/>
        <w:jc w:val="both"/>
        <w:rPr>
          <w:b/>
          <w:bCs/>
          <w:i/>
          <w:iCs/>
        </w:rPr>
      </w:pPr>
    </w:p>
    <w:p w14:paraId="3055B070" w14:textId="77777777" w:rsidR="00A1592A" w:rsidRDefault="00A1592A" w:rsidP="00311EDC">
      <w:pPr>
        <w:spacing w:after="0"/>
        <w:jc w:val="both"/>
        <w:rPr>
          <w:b/>
          <w:bCs/>
          <w:i/>
          <w:iCs/>
        </w:rPr>
      </w:pPr>
    </w:p>
    <w:p w14:paraId="60701EFD" w14:textId="77777777" w:rsidR="00A1592A" w:rsidRDefault="00A1592A" w:rsidP="00311EDC">
      <w:pPr>
        <w:spacing w:after="0"/>
        <w:jc w:val="both"/>
        <w:rPr>
          <w:b/>
          <w:bCs/>
          <w:i/>
          <w:iCs/>
        </w:rPr>
      </w:pPr>
    </w:p>
    <w:p w14:paraId="0924A8AF" w14:textId="625E8DBB" w:rsidR="0090299C" w:rsidRPr="0061628B" w:rsidRDefault="0061628B" w:rsidP="00311EDC">
      <w:pPr>
        <w:spacing w:after="0"/>
        <w:jc w:val="both"/>
        <w:rPr>
          <w:b/>
          <w:bCs/>
          <w:i/>
          <w:iCs/>
        </w:rPr>
      </w:pPr>
      <w:r w:rsidRPr="0061628B">
        <w:rPr>
          <w:b/>
          <w:bCs/>
          <w:i/>
          <w:iCs/>
        </w:rPr>
        <w:lastRenderedPageBreak/>
        <w:t>Application du Club C SPS : Appli 01 :</w:t>
      </w:r>
    </w:p>
    <w:p w14:paraId="5E67EEAE" w14:textId="0AEC0C4C" w:rsidR="0090299C" w:rsidRDefault="00C03040" w:rsidP="00311EDC">
      <w:pPr>
        <w:spacing w:after="0"/>
        <w:jc w:val="both"/>
      </w:pPr>
      <w:r>
        <w:t xml:space="preserve">Le club des coordonnateurs animé par la CARSAT RA a établi également une application téléchargeable sur le site internet de la CARSAT </w:t>
      </w:r>
      <w:r w:rsidR="0061628B">
        <w:t>RA «</w:t>
      </w:r>
      <w:r>
        <w:rPr>
          <w:b/>
          <w:bCs/>
        </w:rPr>
        <w:t> Appli 01 » :</w:t>
      </w:r>
    </w:p>
    <w:p w14:paraId="2DB06460" w14:textId="799E1914" w:rsidR="0090299C" w:rsidRPr="0061628B" w:rsidRDefault="00C03040" w:rsidP="0061628B">
      <w:pPr>
        <w:spacing w:after="0" w:line="240" w:lineRule="auto"/>
        <w:jc w:val="both"/>
        <w:outlineLvl w:val="2"/>
        <w:rPr>
          <w:color w:val="000000"/>
          <w:sz w:val="24"/>
          <w:szCs w:val="24"/>
        </w:rPr>
      </w:pPr>
      <w:r>
        <w:rPr>
          <w:rFonts w:ascii="Times New Roman" w:eastAsia="Times New Roman" w:hAnsi="Times New Roman" w:cs="Times New Roman"/>
          <w:b/>
          <w:bCs/>
          <w:color w:val="000000"/>
          <w:kern w:val="0"/>
          <w:sz w:val="24"/>
          <w:szCs w:val="24"/>
          <w:lang w:eastAsia="fr-FR"/>
          <w14:ligatures w14:val="none"/>
        </w:rPr>
        <w:t>Accompagnement des maîtres d'ouvrage et des coordonnateurs SPS dans l'offre d'une mission de coordination SPS</w:t>
      </w:r>
      <w:r w:rsidR="0061628B">
        <w:rPr>
          <w:rFonts w:ascii="Times New Roman" w:eastAsia="Times New Roman" w:hAnsi="Times New Roman" w:cs="Times New Roman"/>
          <w:b/>
          <w:bCs/>
          <w:color w:val="000000"/>
          <w:kern w:val="0"/>
          <w:sz w:val="24"/>
          <w:szCs w:val="24"/>
          <w:lang w:eastAsia="fr-FR"/>
          <w14:ligatures w14:val="none"/>
        </w:rPr>
        <w:t xml:space="preserve"> : </w:t>
      </w:r>
      <w:hyperlink r:id="rId9" w:tgtFrame="_blank">
        <w:r>
          <w:rPr>
            <w:rFonts w:ascii="Times New Roman" w:eastAsia="Times New Roman" w:hAnsi="Times New Roman" w:cs="Times New Roman"/>
            <w:color w:val="0000FF"/>
            <w:kern w:val="0"/>
            <w:sz w:val="24"/>
            <w:szCs w:val="24"/>
            <w:u w:val="single"/>
            <w:lang w:eastAsia="fr-FR"/>
            <w14:ligatures w14:val="none"/>
          </w:rPr>
          <w:t>APPLI01 - référentiel CSPS 2024 (XLSB, 3,5 Mo)</w:t>
        </w:r>
      </w:hyperlink>
    </w:p>
    <w:p w14:paraId="2BD237C1" w14:textId="77777777" w:rsidR="0061628B" w:rsidRDefault="0061628B" w:rsidP="00311EDC">
      <w:pPr>
        <w:spacing w:after="0" w:line="240" w:lineRule="auto"/>
        <w:jc w:val="both"/>
        <w:rPr>
          <w:rFonts w:ascii="Times New Roman" w:eastAsia="Times New Roman" w:hAnsi="Times New Roman" w:cs="Times New Roman"/>
          <w:kern w:val="0"/>
          <w:sz w:val="24"/>
          <w:szCs w:val="24"/>
          <w:lang w:eastAsia="fr-FR"/>
          <w14:ligatures w14:val="none"/>
        </w:rPr>
      </w:pPr>
    </w:p>
    <w:p w14:paraId="63078B9E" w14:textId="413510CC" w:rsidR="0090299C" w:rsidRDefault="0061628B" w:rsidP="00311ED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w:t>
      </w:r>
      <w:r w:rsidR="00C03040">
        <w:rPr>
          <w:rFonts w:ascii="Times New Roman" w:eastAsia="Times New Roman" w:hAnsi="Times New Roman" w:cs="Times New Roman"/>
          <w:kern w:val="0"/>
          <w:sz w:val="24"/>
          <w:szCs w:val="24"/>
          <w:lang w:eastAsia="fr-FR"/>
          <w14:ligatures w14:val="none"/>
        </w:rPr>
        <w:t xml:space="preserve"> objectifs de cette application sont d’apporter une aide pour :</w:t>
      </w:r>
    </w:p>
    <w:p w14:paraId="67901EFA" w14:textId="77777777" w:rsidR="0061628B" w:rsidRDefault="00C03040" w:rsidP="0061628B">
      <w:pPr>
        <w:pStyle w:val="Paragraphedeliste"/>
        <w:numPr>
          <w:ilvl w:val="0"/>
          <w:numId w:val="2"/>
        </w:numPr>
        <w:spacing w:after="0" w:line="240" w:lineRule="auto"/>
        <w:jc w:val="both"/>
        <w:rPr>
          <w:rFonts w:ascii="Times New Roman" w:eastAsia="Times New Roman" w:hAnsi="Times New Roman" w:cs="Times New Roman"/>
          <w:kern w:val="0"/>
          <w:sz w:val="24"/>
          <w:szCs w:val="24"/>
          <w:lang w:eastAsia="fr-FR"/>
          <w14:ligatures w14:val="none"/>
        </w:rPr>
      </w:pPr>
      <w:r w:rsidRPr="00A1592A">
        <w:rPr>
          <w:rFonts w:ascii="Times New Roman" w:eastAsia="Times New Roman" w:hAnsi="Times New Roman" w:cs="Times New Roman"/>
          <w:b/>
          <w:bCs/>
          <w:i/>
          <w:iCs/>
          <w:kern w:val="0"/>
          <w:sz w:val="24"/>
          <w:szCs w:val="24"/>
          <w:lang w:eastAsia="fr-FR"/>
          <w14:ligatures w14:val="none"/>
        </w:rPr>
        <w:t>Établir, compléter le contenu d’un contrat de coordination</w:t>
      </w:r>
      <w:r w:rsidRPr="0061628B">
        <w:rPr>
          <w:rFonts w:ascii="Times New Roman" w:eastAsia="Times New Roman" w:hAnsi="Times New Roman" w:cs="Times New Roman"/>
          <w:kern w:val="0"/>
          <w:sz w:val="24"/>
          <w:szCs w:val="24"/>
          <w:lang w:eastAsia="fr-FR"/>
          <w14:ligatures w14:val="none"/>
        </w:rPr>
        <w:t>, sur la base de prestations et d'un volume d'heures de référence.</w:t>
      </w:r>
    </w:p>
    <w:p w14:paraId="338416F3" w14:textId="50BB3482" w:rsidR="0090299C" w:rsidRDefault="00C03040" w:rsidP="0061628B">
      <w:pPr>
        <w:pStyle w:val="Paragraphedeliste"/>
        <w:numPr>
          <w:ilvl w:val="0"/>
          <w:numId w:val="2"/>
        </w:numPr>
        <w:spacing w:after="0" w:line="240" w:lineRule="auto"/>
        <w:jc w:val="both"/>
        <w:rPr>
          <w:rFonts w:ascii="Times New Roman" w:eastAsia="Times New Roman" w:hAnsi="Times New Roman" w:cs="Times New Roman"/>
          <w:kern w:val="0"/>
          <w:sz w:val="24"/>
          <w:szCs w:val="24"/>
          <w:lang w:eastAsia="fr-FR"/>
          <w14:ligatures w14:val="none"/>
        </w:rPr>
      </w:pPr>
      <w:r w:rsidRPr="0061628B">
        <w:rPr>
          <w:rFonts w:ascii="Times New Roman" w:eastAsia="Times New Roman" w:hAnsi="Times New Roman" w:cs="Times New Roman"/>
          <w:b/>
          <w:bCs/>
          <w:i/>
          <w:iCs/>
          <w:kern w:val="0"/>
          <w:sz w:val="24"/>
          <w:szCs w:val="24"/>
          <w:lang w:eastAsia="fr-FR"/>
          <w14:ligatures w14:val="none"/>
        </w:rPr>
        <w:t>Évaluer des appels d'offres</w:t>
      </w:r>
      <w:r w:rsidRPr="0061628B">
        <w:rPr>
          <w:rFonts w:ascii="Times New Roman" w:eastAsia="Times New Roman" w:hAnsi="Times New Roman" w:cs="Times New Roman"/>
          <w:kern w:val="0"/>
          <w:sz w:val="24"/>
          <w:szCs w:val="24"/>
          <w:lang w:eastAsia="fr-FR"/>
          <w14:ligatures w14:val="none"/>
        </w:rPr>
        <w:t>, afin de permettre le choix d'un prestataire pour un travail de coordination SPS.</w:t>
      </w:r>
    </w:p>
    <w:p w14:paraId="29B4915B" w14:textId="77777777" w:rsidR="0061628B" w:rsidRPr="0061628B" w:rsidRDefault="0061628B" w:rsidP="0061628B">
      <w:pPr>
        <w:spacing w:after="0" w:line="240" w:lineRule="auto"/>
        <w:jc w:val="both"/>
        <w:rPr>
          <w:rFonts w:ascii="Times New Roman" w:eastAsia="Times New Roman" w:hAnsi="Times New Roman" w:cs="Times New Roman"/>
          <w:kern w:val="0"/>
          <w:sz w:val="24"/>
          <w:szCs w:val="24"/>
          <w:lang w:eastAsia="fr-FR"/>
          <w14:ligatures w14:val="none"/>
        </w:rPr>
      </w:pPr>
    </w:p>
    <w:p w14:paraId="6D7126FD" w14:textId="77777777" w:rsidR="0090299C" w:rsidRDefault="00C03040" w:rsidP="00311ED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w:t>
      </w:r>
      <w:r>
        <w:rPr>
          <w:rFonts w:ascii="Times New Roman" w:eastAsia="Times New Roman" w:hAnsi="Times New Roman" w:cs="Times New Roman"/>
          <w:kern w:val="0"/>
          <w:sz w:val="24"/>
          <w:szCs w:val="24"/>
          <w:lang w:eastAsia="fr-FR"/>
          <w14:ligatures w14:val="none"/>
        </w:rPr>
        <w:t>élécharger, puis suivre la procédure de déblocage du fichier :</w:t>
      </w:r>
    </w:p>
    <w:p w14:paraId="28F1B963" w14:textId="77777777" w:rsidR="0090299C" w:rsidRDefault="00C03040" w:rsidP="00311EDC">
      <w:pPr>
        <w:spacing w:after="0" w:line="240" w:lineRule="auto"/>
        <w:jc w:val="both"/>
        <w:rPr>
          <w:rFonts w:ascii="Times New Roman" w:eastAsia="Times New Roman" w:hAnsi="Times New Roman" w:cs="Times New Roman"/>
          <w:kern w:val="0"/>
          <w:sz w:val="24"/>
          <w:szCs w:val="24"/>
          <w:lang w:eastAsia="fr-FR"/>
          <w14:ligatures w14:val="none"/>
        </w:rPr>
      </w:pPr>
      <w:hyperlink r:id="rId10" w:tgtFrame="_blank">
        <w:r>
          <w:rPr>
            <w:rFonts w:ascii="Times New Roman" w:eastAsia="Times New Roman" w:hAnsi="Times New Roman" w:cs="Times New Roman"/>
            <w:color w:val="0000FF"/>
            <w:kern w:val="0"/>
            <w:sz w:val="24"/>
            <w:szCs w:val="24"/>
            <w:u w:val="single"/>
            <w:lang w:eastAsia="fr-FR"/>
            <w14:ligatures w14:val="none"/>
          </w:rPr>
          <w:t>Procédure de déblocage (PDF, 140 Ko)</w:t>
        </w:r>
      </w:hyperlink>
    </w:p>
    <w:p w14:paraId="5C61E002" w14:textId="77777777" w:rsidR="0090299C" w:rsidRDefault="00C03040" w:rsidP="00311EDC">
      <w:pPr>
        <w:spacing w:after="0" w:line="240" w:lineRule="auto"/>
        <w:jc w:val="both"/>
        <w:rPr>
          <w:rFonts w:ascii="Times New Roman" w:eastAsia="Times New Roman" w:hAnsi="Times New Roman" w:cs="Times New Roman"/>
          <w:kern w:val="0"/>
          <w:sz w:val="24"/>
          <w:szCs w:val="24"/>
          <w:lang w:eastAsia="fr-FR"/>
          <w14:ligatures w14:val="none"/>
        </w:rPr>
      </w:pPr>
      <w:hyperlink r:id="rId11" w:tgtFrame="_blank">
        <w:r>
          <w:rPr>
            <w:rFonts w:ascii="Times New Roman" w:eastAsia="Times New Roman" w:hAnsi="Times New Roman" w:cs="Times New Roman"/>
            <w:color w:val="0000FF"/>
            <w:kern w:val="0"/>
            <w:sz w:val="24"/>
            <w:szCs w:val="24"/>
            <w:u w:val="single"/>
            <w:lang w:eastAsia="fr-FR"/>
            <w14:ligatures w14:val="none"/>
          </w:rPr>
          <w:t>Manuel utilisateur (DOCX, 1,38 Mo)</w:t>
        </w:r>
      </w:hyperlink>
    </w:p>
    <w:p w14:paraId="31DB8CC9" w14:textId="77777777" w:rsidR="0090299C" w:rsidRDefault="00C03040" w:rsidP="00311EDC">
      <w:pPr>
        <w:spacing w:after="0" w:line="240" w:lineRule="auto"/>
        <w:jc w:val="both"/>
        <w:rPr>
          <w:rFonts w:ascii="Times New Roman" w:eastAsia="Times New Roman" w:hAnsi="Times New Roman" w:cs="Times New Roman"/>
          <w:kern w:val="0"/>
          <w:sz w:val="24"/>
          <w:szCs w:val="24"/>
          <w:lang w:eastAsia="fr-FR"/>
          <w14:ligatures w14:val="none"/>
        </w:rPr>
      </w:pPr>
      <w:hyperlink r:id="rId12" w:tgtFrame="_blank">
        <w:r>
          <w:rPr>
            <w:rFonts w:ascii="Times New Roman" w:eastAsia="Times New Roman" w:hAnsi="Times New Roman" w:cs="Times New Roman"/>
            <w:color w:val="0000FF"/>
            <w:kern w:val="0"/>
            <w:sz w:val="24"/>
            <w:szCs w:val="24"/>
            <w:u w:val="single"/>
            <w:lang w:eastAsia="fr-FR"/>
            <w14:ligatures w14:val="none"/>
          </w:rPr>
          <w:t>Questionnaire d'évaluation (DOCX, 2,24 Mo)</w:t>
        </w:r>
      </w:hyperlink>
    </w:p>
    <w:p w14:paraId="4EB4CF9D" w14:textId="77777777" w:rsidR="0090299C" w:rsidRDefault="00C03040" w:rsidP="00311EDC">
      <w:pPr>
        <w:spacing w:after="0" w:line="240" w:lineRule="auto"/>
        <w:jc w:val="both"/>
        <w:rPr>
          <w:rFonts w:ascii="Times New Roman" w:eastAsia="Times New Roman" w:hAnsi="Times New Roman" w:cs="Times New Roman"/>
          <w:kern w:val="0"/>
          <w:sz w:val="24"/>
          <w:szCs w:val="24"/>
          <w:lang w:eastAsia="fr-FR"/>
          <w14:ligatures w14:val="none"/>
        </w:rPr>
      </w:pPr>
      <w:hyperlink r:id="rId13" w:tgtFrame="_blank">
        <w:r>
          <w:rPr>
            <w:rFonts w:ascii="Times New Roman" w:eastAsia="Times New Roman" w:hAnsi="Times New Roman" w:cs="Times New Roman"/>
            <w:color w:val="0000FF"/>
            <w:kern w:val="0"/>
            <w:sz w:val="24"/>
            <w:szCs w:val="24"/>
            <w:u w:val="single"/>
            <w:lang w:eastAsia="fr-FR"/>
            <w14:ligatures w14:val="none"/>
          </w:rPr>
          <w:t>Suivi CSPS (XLSB, 4,06 Mo)</w:t>
        </w:r>
      </w:hyperlink>
    </w:p>
    <w:p w14:paraId="098D96A6" w14:textId="77777777" w:rsidR="0090299C" w:rsidRDefault="0090299C" w:rsidP="00311EDC">
      <w:pPr>
        <w:spacing w:after="0"/>
        <w:jc w:val="both"/>
      </w:pPr>
    </w:p>
    <w:p w14:paraId="17D92544" w14:textId="77777777" w:rsidR="0090299C" w:rsidRDefault="00C03040" w:rsidP="00311EDC">
      <w:pPr>
        <w:spacing w:after="0"/>
        <w:jc w:val="both"/>
      </w:pPr>
      <w:r>
        <w:t>On présente ici le tableau pour une opération de niveau 1, le plus complet, la brochure présente aussi des tableaux pour des opérations de niveaux 2 et 3.</w:t>
      </w:r>
    </w:p>
    <w:p w14:paraId="007755B5" w14:textId="77777777" w:rsidR="0090299C" w:rsidRDefault="00C03040">
      <w:r>
        <w:rPr>
          <w:noProof/>
        </w:rPr>
        <w:lastRenderedPageBreak/>
        <w:drawing>
          <wp:inline distT="0" distB="0" distL="0" distR="0" wp14:anchorId="76491B61" wp14:editId="6DAC4568">
            <wp:extent cx="6143625" cy="8920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4"/>
                    <a:stretch>
                      <a:fillRect/>
                    </a:stretch>
                  </pic:blipFill>
                  <pic:spPr bwMode="auto">
                    <a:xfrm>
                      <a:off x="0" y="0"/>
                      <a:ext cx="6143625" cy="8920480"/>
                    </a:xfrm>
                    <a:prstGeom prst="rect">
                      <a:avLst/>
                    </a:prstGeom>
                  </pic:spPr>
                </pic:pic>
              </a:graphicData>
            </a:graphic>
          </wp:inline>
        </w:drawing>
      </w:r>
    </w:p>
    <w:p w14:paraId="7D1FB679" w14:textId="77777777" w:rsidR="0090299C" w:rsidRDefault="00C03040">
      <w:r>
        <w:rPr>
          <w:noProof/>
        </w:rPr>
        <w:lastRenderedPageBreak/>
        <w:drawing>
          <wp:inline distT="0" distB="0" distL="0" distR="0" wp14:anchorId="04EF99A6" wp14:editId="76E63A50">
            <wp:extent cx="6162675" cy="825500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5"/>
                    <a:stretch>
                      <a:fillRect/>
                    </a:stretch>
                  </pic:blipFill>
                  <pic:spPr bwMode="auto">
                    <a:xfrm>
                      <a:off x="0" y="0"/>
                      <a:ext cx="6162675" cy="8255000"/>
                    </a:xfrm>
                    <a:prstGeom prst="rect">
                      <a:avLst/>
                    </a:prstGeom>
                  </pic:spPr>
                </pic:pic>
              </a:graphicData>
            </a:graphic>
          </wp:inline>
        </w:drawing>
      </w:r>
    </w:p>
    <w:p w14:paraId="44A8493A" w14:textId="77777777" w:rsidR="0090299C" w:rsidRDefault="0090299C"/>
    <w:p w14:paraId="070E1276" w14:textId="77777777" w:rsidR="0090299C" w:rsidRDefault="00C03040">
      <w:r>
        <w:lastRenderedPageBreak/>
        <w:t>Sur la bases des prestations prévues dans ce document le MOA pourra établir un document de comparaison des offres.</w:t>
      </w:r>
    </w:p>
    <w:p w14:paraId="41E6EAEB" w14:textId="77777777" w:rsidR="0090299C" w:rsidRDefault="0090299C"/>
    <w:tbl>
      <w:tblPr>
        <w:tblStyle w:val="Grilledutableau"/>
        <w:tblW w:w="9066" w:type="dxa"/>
        <w:tblLayout w:type="fixed"/>
        <w:tblLook w:val="04A0" w:firstRow="1" w:lastRow="0" w:firstColumn="1" w:lastColumn="0" w:noHBand="0" w:noVBand="1"/>
      </w:tblPr>
      <w:tblGrid>
        <w:gridCol w:w="910"/>
        <w:gridCol w:w="964"/>
        <w:gridCol w:w="1070"/>
        <w:gridCol w:w="853"/>
        <w:gridCol w:w="967"/>
        <w:gridCol w:w="1078"/>
        <w:gridCol w:w="853"/>
        <w:gridCol w:w="788"/>
        <w:gridCol w:w="964"/>
        <w:gridCol w:w="619"/>
      </w:tblGrid>
      <w:tr w:rsidR="0090299C" w14:paraId="11F14B20" w14:textId="77777777">
        <w:tc>
          <w:tcPr>
            <w:tcW w:w="909" w:type="dxa"/>
          </w:tcPr>
          <w:p w14:paraId="52CF2019" w14:textId="77777777" w:rsidR="0090299C" w:rsidRDefault="00C03040">
            <w:pPr>
              <w:widowControl w:val="0"/>
              <w:spacing w:after="0" w:line="240" w:lineRule="auto"/>
              <w:rPr>
                <w:sz w:val="14"/>
                <w:szCs w:val="14"/>
              </w:rPr>
            </w:pPr>
            <w:r>
              <w:rPr>
                <w:rFonts w:eastAsia="Calibri"/>
                <w:sz w:val="14"/>
                <w:szCs w:val="14"/>
              </w:rPr>
              <w:t>Prestations de référence</w:t>
            </w:r>
          </w:p>
        </w:tc>
        <w:tc>
          <w:tcPr>
            <w:tcW w:w="2887" w:type="dxa"/>
            <w:gridSpan w:val="3"/>
          </w:tcPr>
          <w:p w14:paraId="6F0F3A0B" w14:textId="77777777" w:rsidR="0090299C" w:rsidRDefault="00C03040">
            <w:pPr>
              <w:widowControl w:val="0"/>
              <w:spacing w:after="0" w:line="240" w:lineRule="auto"/>
              <w:rPr>
                <w:sz w:val="16"/>
                <w:szCs w:val="16"/>
              </w:rPr>
            </w:pPr>
            <w:r>
              <w:rPr>
                <w:rFonts w:eastAsia="Calibri"/>
                <w:sz w:val="16"/>
                <w:szCs w:val="16"/>
              </w:rPr>
              <w:t>Offre 1</w:t>
            </w:r>
          </w:p>
        </w:tc>
        <w:tc>
          <w:tcPr>
            <w:tcW w:w="2898" w:type="dxa"/>
            <w:gridSpan w:val="3"/>
          </w:tcPr>
          <w:p w14:paraId="3632A578" w14:textId="77777777" w:rsidR="0090299C" w:rsidRDefault="00C03040">
            <w:pPr>
              <w:widowControl w:val="0"/>
              <w:spacing w:after="0" w:line="240" w:lineRule="auto"/>
              <w:rPr>
                <w:sz w:val="16"/>
                <w:szCs w:val="16"/>
              </w:rPr>
            </w:pPr>
            <w:r>
              <w:rPr>
                <w:rFonts w:eastAsia="Calibri"/>
                <w:sz w:val="16"/>
                <w:szCs w:val="16"/>
              </w:rPr>
              <w:t>Offre 2</w:t>
            </w:r>
          </w:p>
        </w:tc>
        <w:tc>
          <w:tcPr>
            <w:tcW w:w="2371" w:type="dxa"/>
            <w:gridSpan w:val="3"/>
          </w:tcPr>
          <w:p w14:paraId="5002AE9B" w14:textId="77777777" w:rsidR="0090299C" w:rsidRDefault="00C03040">
            <w:pPr>
              <w:widowControl w:val="0"/>
              <w:spacing w:after="0" w:line="240" w:lineRule="auto"/>
              <w:rPr>
                <w:sz w:val="16"/>
                <w:szCs w:val="16"/>
              </w:rPr>
            </w:pPr>
            <w:r>
              <w:rPr>
                <w:rFonts w:eastAsia="Calibri"/>
                <w:sz w:val="16"/>
                <w:szCs w:val="16"/>
              </w:rPr>
              <w:t>Offre XX</w:t>
            </w:r>
          </w:p>
        </w:tc>
      </w:tr>
      <w:tr w:rsidR="0090299C" w14:paraId="5AC2338C" w14:textId="77777777">
        <w:tc>
          <w:tcPr>
            <w:tcW w:w="909" w:type="dxa"/>
          </w:tcPr>
          <w:p w14:paraId="70DBC3CB" w14:textId="77777777" w:rsidR="0090299C" w:rsidRDefault="0090299C">
            <w:pPr>
              <w:widowControl w:val="0"/>
              <w:spacing w:after="0" w:line="240" w:lineRule="auto"/>
              <w:rPr>
                <w:sz w:val="16"/>
                <w:szCs w:val="16"/>
              </w:rPr>
            </w:pPr>
          </w:p>
        </w:tc>
        <w:tc>
          <w:tcPr>
            <w:tcW w:w="964" w:type="dxa"/>
          </w:tcPr>
          <w:p w14:paraId="39F3334A" w14:textId="77777777" w:rsidR="0090299C" w:rsidRDefault="00C03040">
            <w:pPr>
              <w:widowControl w:val="0"/>
              <w:spacing w:after="0" w:line="240" w:lineRule="auto"/>
              <w:rPr>
                <w:sz w:val="14"/>
                <w:szCs w:val="14"/>
              </w:rPr>
            </w:pPr>
            <w:r>
              <w:rPr>
                <w:rFonts w:eastAsia="Calibri"/>
                <w:sz w:val="14"/>
                <w:szCs w:val="14"/>
              </w:rPr>
              <w:t>Unité de</w:t>
            </w:r>
          </w:p>
          <w:p w14:paraId="42037121" w14:textId="77777777" w:rsidR="0090299C" w:rsidRDefault="00C03040">
            <w:pPr>
              <w:widowControl w:val="0"/>
              <w:spacing w:after="0" w:line="240" w:lineRule="auto"/>
              <w:rPr>
                <w:sz w:val="14"/>
                <w:szCs w:val="14"/>
              </w:rPr>
            </w:pPr>
            <w:proofErr w:type="gramStart"/>
            <w:r>
              <w:rPr>
                <w:rFonts w:eastAsia="Calibri"/>
                <w:sz w:val="14"/>
                <w:szCs w:val="14"/>
              </w:rPr>
              <w:t>temps</w:t>
            </w:r>
            <w:proofErr w:type="gramEnd"/>
          </w:p>
          <w:p w14:paraId="1917D143" w14:textId="77777777" w:rsidR="0090299C" w:rsidRDefault="00C03040">
            <w:pPr>
              <w:widowControl w:val="0"/>
              <w:spacing w:after="0" w:line="240" w:lineRule="auto"/>
              <w:rPr>
                <w:sz w:val="14"/>
                <w:szCs w:val="14"/>
              </w:rPr>
            </w:pPr>
            <w:r>
              <w:rPr>
                <w:rFonts w:eastAsia="Calibri"/>
                <w:sz w:val="14"/>
                <w:szCs w:val="14"/>
              </w:rPr>
              <w:t>(</w:t>
            </w:r>
            <w:proofErr w:type="gramStart"/>
            <w:r>
              <w:rPr>
                <w:rFonts w:eastAsia="Calibri"/>
                <w:sz w:val="14"/>
                <w:szCs w:val="14"/>
              </w:rPr>
              <w:t>heures</w:t>
            </w:r>
            <w:proofErr w:type="gramEnd"/>
            <w:r>
              <w:rPr>
                <w:rFonts w:eastAsia="Calibri"/>
                <w:sz w:val="14"/>
                <w:szCs w:val="14"/>
              </w:rPr>
              <w:t>)</w:t>
            </w:r>
          </w:p>
          <w:p w14:paraId="41C3BBC0" w14:textId="77777777" w:rsidR="0090299C" w:rsidRDefault="00C03040">
            <w:pPr>
              <w:widowControl w:val="0"/>
              <w:spacing w:after="0" w:line="240" w:lineRule="auto"/>
              <w:rPr>
                <w:sz w:val="14"/>
                <w:szCs w:val="14"/>
              </w:rPr>
            </w:pPr>
            <w:proofErr w:type="gramStart"/>
            <w:r>
              <w:rPr>
                <w:rFonts w:eastAsia="Calibri"/>
                <w:sz w:val="14"/>
                <w:szCs w:val="14"/>
              </w:rPr>
              <w:t>hors</w:t>
            </w:r>
            <w:proofErr w:type="gramEnd"/>
          </w:p>
          <w:p w14:paraId="0D068860" w14:textId="77777777" w:rsidR="0090299C" w:rsidRDefault="00C03040">
            <w:pPr>
              <w:widowControl w:val="0"/>
              <w:spacing w:after="0" w:line="240" w:lineRule="auto"/>
              <w:rPr>
                <w:sz w:val="14"/>
                <w:szCs w:val="14"/>
              </w:rPr>
            </w:pPr>
            <w:proofErr w:type="gramStart"/>
            <w:r>
              <w:rPr>
                <w:rFonts w:eastAsia="Calibri"/>
                <w:sz w:val="14"/>
                <w:szCs w:val="14"/>
              </w:rPr>
              <w:t>temps</w:t>
            </w:r>
            <w:proofErr w:type="gramEnd"/>
            <w:r>
              <w:rPr>
                <w:rFonts w:eastAsia="Calibri"/>
                <w:sz w:val="14"/>
                <w:szCs w:val="14"/>
              </w:rPr>
              <w:t xml:space="preserve"> de</w:t>
            </w:r>
          </w:p>
          <w:p w14:paraId="4EAA7343" w14:textId="77777777" w:rsidR="0090299C" w:rsidRDefault="00C03040">
            <w:pPr>
              <w:widowControl w:val="0"/>
              <w:spacing w:after="0" w:line="240" w:lineRule="auto"/>
              <w:rPr>
                <w:sz w:val="14"/>
                <w:szCs w:val="14"/>
              </w:rPr>
            </w:pPr>
            <w:proofErr w:type="gramStart"/>
            <w:r>
              <w:rPr>
                <w:rFonts w:eastAsia="Calibri"/>
                <w:sz w:val="14"/>
                <w:szCs w:val="14"/>
              </w:rPr>
              <w:t>déplacement</w:t>
            </w:r>
            <w:proofErr w:type="gramEnd"/>
          </w:p>
        </w:tc>
        <w:tc>
          <w:tcPr>
            <w:tcW w:w="1070" w:type="dxa"/>
          </w:tcPr>
          <w:p w14:paraId="7C14A781" w14:textId="77777777" w:rsidR="0090299C" w:rsidRDefault="00C03040">
            <w:pPr>
              <w:widowControl w:val="0"/>
              <w:spacing w:after="0" w:line="240" w:lineRule="auto"/>
              <w:rPr>
                <w:sz w:val="14"/>
                <w:szCs w:val="14"/>
              </w:rPr>
            </w:pPr>
            <w:r>
              <w:rPr>
                <w:rFonts w:eastAsia="Calibri"/>
                <w:sz w:val="14"/>
                <w:szCs w:val="14"/>
              </w:rPr>
              <w:t>Nombre</w:t>
            </w:r>
          </w:p>
          <w:p w14:paraId="3F6AFBB8" w14:textId="77777777" w:rsidR="0090299C" w:rsidRDefault="00C03040">
            <w:pPr>
              <w:widowControl w:val="0"/>
              <w:spacing w:after="0" w:line="240" w:lineRule="auto"/>
              <w:rPr>
                <w:sz w:val="14"/>
                <w:szCs w:val="14"/>
              </w:rPr>
            </w:pPr>
            <w:proofErr w:type="gramStart"/>
            <w:r>
              <w:rPr>
                <w:rFonts w:eastAsia="Calibri"/>
                <w:sz w:val="14"/>
                <w:szCs w:val="14"/>
              </w:rPr>
              <w:t>d’unités</w:t>
            </w:r>
            <w:proofErr w:type="gramEnd"/>
            <w:r>
              <w:rPr>
                <w:rFonts w:eastAsia="Calibri"/>
                <w:sz w:val="14"/>
                <w:szCs w:val="14"/>
              </w:rPr>
              <w:t xml:space="preserve"> /</w:t>
            </w:r>
          </w:p>
          <w:p w14:paraId="0647A56D" w14:textId="77777777" w:rsidR="0090299C" w:rsidRDefault="00C03040">
            <w:pPr>
              <w:widowControl w:val="0"/>
              <w:spacing w:after="0" w:line="240" w:lineRule="auto"/>
              <w:rPr>
                <w:sz w:val="14"/>
                <w:szCs w:val="14"/>
              </w:rPr>
            </w:pPr>
            <w:r>
              <w:rPr>
                <w:rFonts w:eastAsia="Calibri"/>
                <w:sz w:val="14"/>
                <w:szCs w:val="14"/>
              </w:rPr>
              <w:t>Périodicité</w:t>
            </w:r>
          </w:p>
          <w:p w14:paraId="05A20970" w14:textId="77777777" w:rsidR="0090299C" w:rsidRDefault="00C03040">
            <w:pPr>
              <w:widowControl w:val="0"/>
              <w:spacing w:after="0" w:line="240" w:lineRule="auto"/>
              <w:rPr>
                <w:sz w:val="14"/>
                <w:szCs w:val="14"/>
              </w:rPr>
            </w:pPr>
            <w:proofErr w:type="gramStart"/>
            <w:r>
              <w:rPr>
                <w:rFonts w:eastAsia="Calibri"/>
                <w:sz w:val="14"/>
                <w:szCs w:val="14"/>
              </w:rPr>
              <w:t>recommandée</w:t>
            </w:r>
            <w:proofErr w:type="gramEnd"/>
          </w:p>
        </w:tc>
        <w:tc>
          <w:tcPr>
            <w:tcW w:w="853" w:type="dxa"/>
          </w:tcPr>
          <w:p w14:paraId="3450C210" w14:textId="77777777" w:rsidR="0090299C" w:rsidRDefault="00C03040">
            <w:pPr>
              <w:widowControl w:val="0"/>
              <w:spacing w:after="0" w:line="240" w:lineRule="auto"/>
              <w:rPr>
                <w:sz w:val="14"/>
                <w:szCs w:val="14"/>
              </w:rPr>
            </w:pPr>
            <w:r>
              <w:rPr>
                <w:rFonts w:eastAsia="Calibri"/>
                <w:sz w:val="14"/>
                <w:szCs w:val="14"/>
              </w:rPr>
              <w:t>Total</w:t>
            </w:r>
          </w:p>
          <w:p w14:paraId="1931B861" w14:textId="77777777" w:rsidR="0090299C" w:rsidRDefault="00C03040">
            <w:pPr>
              <w:widowControl w:val="0"/>
              <w:spacing w:after="0" w:line="240" w:lineRule="auto"/>
              <w:rPr>
                <w:sz w:val="14"/>
                <w:szCs w:val="14"/>
              </w:rPr>
            </w:pPr>
            <w:r>
              <w:rPr>
                <w:rFonts w:eastAsia="Calibri"/>
                <w:sz w:val="14"/>
                <w:szCs w:val="14"/>
              </w:rPr>
              <w:t>(</w:t>
            </w:r>
            <w:proofErr w:type="gramStart"/>
            <w:r>
              <w:rPr>
                <w:rFonts w:eastAsia="Calibri"/>
                <w:sz w:val="14"/>
                <w:szCs w:val="14"/>
              </w:rPr>
              <w:t>heures</w:t>
            </w:r>
            <w:proofErr w:type="gramEnd"/>
            <w:r>
              <w:rPr>
                <w:rFonts w:eastAsia="Calibri"/>
                <w:sz w:val="14"/>
                <w:szCs w:val="14"/>
              </w:rPr>
              <w:t xml:space="preserve"> de</w:t>
            </w:r>
          </w:p>
          <w:p w14:paraId="237B2F8A" w14:textId="77777777" w:rsidR="0090299C" w:rsidRDefault="00C03040">
            <w:pPr>
              <w:widowControl w:val="0"/>
              <w:spacing w:after="0" w:line="240" w:lineRule="auto"/>
              <w:rPr>
                <w:sz w:val="14"/>
                <w:szCs w:val="14"/>
              </w:rPr>
            </w:pPr>
            <w:proofErr w:type="gramStart"/>
            <w:r>
              <w:rPr>
                <w:rFonts w:eastAsia="Calibri"/>
                <w:sz w:val="14"/>
                <w:szCs w:val="14"/>
              </w:rPr>
              <w:t>référence</w:t>
            </w:r>
            <w:proofErr w:type="gramEnd"/>
            <w:r>
              <w:rPr>
                <w:rFonts w:eastAsia="Calibri"/>
                <w:sz w:val="14"/>
                <w:szCs w:val="14"/>
              </w:rPr>
              <w:t>)</w:t>
            </w:r>
          </w:p>
        </w:tc>
        <w:tc>
          <w:tcPr>
            <w:tcW w:w="967" w:type="dxa"/>
          </w:tcPr>
          <w:p w14:paraId="47DB93DA" w14:textId="77777777" w:rsidR="0090299C" w:rsidRDefault="00C03040">
            <w:pPr>
              <w:widowControl w:val="0"/>
              <w:spacing w:after="0" w:line="240" w:lineRule="auto"/>
              <w:rPr>
                <w:sz w:val="14"/>
                <w:szCs w:val="14"/>
              </w:rPr>
            </w:pPr>
            <w:r>
              <w:rPr>
                <w:rFonts w:eastAsia="Calibri"/>
                <w:sz w:val="14"/>
                <w:szCs w:val="14"/>
              </w:rPr>
              <w:t>Unité de</w:t>
            </w:r>
          </w:p>
          <w:p w14:paraId="4DC4006A" w14:textId="77777777" w:rsidR="0090299C" w:rsidRDefault="00C03040">
            <w:pPr>
              <w:widowControl w:val="0"/>
              <w:spacing w:after="0" w:line="240" w:lineRule="auto"/>
              <w:rPr>
                <w:sz w:val="14"/>
                <w:szCs w:val="14"/>
              </w:rPr>
            </w:pPr>
            <w:proofErr w:type="gramStart"/>
            <w:r>
              <w:rPr>
                <w:rFonts w:eastAsia="Calibri"/>
                <w:sz w:val="14"/>
                <w:szCs w:val="14"/>
              </w:rPr>
              <w:t>temps</w:t>
            </w:r>
            <w:proofErr w:type="gramEnd"/>
          </w:p>
          <w:p w14:paraId="7350C3C3" w14:textId="77777777" w:rsidR="0090299C" w:rsidRDefault="00C03040">
            <w:pPr>
              <w:widowControl w:val="0"/>
              <w:spacing w:after="0" w:line="240" w:lineRule="auto"/>
              <w:rPr>
                <w:sz w:val="14"/>
                <w:szCs w:val="14"/>
              </w:rPr>
            </w:pPr>
            <w:r>
              <w:rPr>
                <w:rFonts w:eastAsia="Calibri"/>
                <w:sz w:val="14"/>
                <w:szCs w:val="14"/>
              </w:rPr>
              <w:t>(</w:t>
            </w:r>
            <w:proofErr w:type="gramStart"/>
            <w:r>
              <w:rPr>
                <w:rFonts w:eastAsia="Calibri"/>
                <w:sz w:val="14"/>
                <w:szCs w:val="14"/>
              </w:rPr>
              <w:t>heures</w:t>
            </w:r>
            <w:proofErr w:type="gramEnd"/>
            <w:r>
              <w:rPr>
                <w:rFonts w:eastAsia="Calibri"/>
                <w:sz w:val="14"/>
                <w:szCs w:val="14"/>
              </w:rPr>
              <w:t>)</w:t>
            </w:r>
          </w:p>
          <w:p w14:paraId="7C730732" w14:textId="77777777" w:rsidR="0090299C" w:rsidRDefault="00C03040">
            <w:pPr>
              <w:widowControl w:val="0"/>
              <w:spacing w:after="0" w:line="240" w:lineRule="auto"/>
              <w:rPr>
                <w:sz w:val="14"/>
                <w:szCs w:val="14"/>
              </w:rPr>
            </w:pPr>
            <w:proofErr w:type="gramStart"/>
            <w:r>
              <w:rPr>
                <w:rFonts w:eastAsia="Calibri"/>
                <w:sz w:val="14"/>
                <w:szCs w:val="14"/>
              </w:rPr>
              <w:t>hors</w:t>
            </w:r>
            <w:proofErr w:type="gramEnd"/>
          </w:p>
          <w:p w14:paraId="63E81700" w14:textId="77777777" w:rsidR="0090299C" w:rsidRDefault="00C03040">
            <w:pPr>
              <w:widowControl w:val="0"/>
              <w:spacing w:after="0" w:line="240" w:lineRule="auto"/>
              <w:rPr>
                <w:sz w:val="14"/>
                <w:szCs w:val="14"/>
              </w:rPr>
            </w:pPr>
            <w:proofErr w:type="gramStart"/>
            <w:r>
              <w:rPr>
                <w:rFonts w:eastAsia="Calibri"/>
                <w:sz w:val="14"/>
                <w:szCs w:val="14"/>
              </w:rPr>
              <w:t>temps</w:t>
            </w:r>
            <w:proofErr w:type="gramEnd"/>
            <w:r>
              <w:rPr>
                <w:rFonts w:eastAsia="Calibri"/>
                <w:sz w:val="14"/>
                <w:szCs w:val="14"/>
              </w:rPr>
              <w:t xml:space="preserve"> de</w:t>
            </w:r>
          </w:p>
          <w:p w14:paraId="59C7555B" w14:textId="77777777" w:rsidR="0090299C" w:rsidRDefault="00C03040">
            <w:pPr>
              <w:widowControl w:val="0"/>
              <w:spacing w:after="0" w:line="240" w:lineRule="auto"/>
              <w:rPr>
                <w:sz w:val="14"/>
                <w:szCs w:val="14"/>
              </w:rPr>
            </w:pPr>
            <w:proofErr w:type="gramStart"/>
            <w:r>
              <w:rPr>
                <w:rFonts w:eastAsia="Calibri"/>
                <w:sz w:val="14"/>
                <w:szCs w:val="14"/>
              </w:rPr>
              <w:t>déplacement</w:t>
            </w:r>
            <w:proofErr w:type="gramEnd"/>
          </w:p>
        </w:tc>
        <w:tc>
          <w:tcPr>
            <w:tcW w:w="1078" w:type="dxa"/>
          </w:tcPr>
          <w:p w14:paraId="4F2275A6" w14:textId="77777777" w:rsidR="0090299C" w:rsidRDefault="00C03040">
            <w:pPr>
              <w:widowControl w:val="0"/>
              <w:spacing w:after="0" w:line="240" w:lineRule="auto"/>
              <w:rPr>
                <w:sz w:val="14"/>
                <w:szCs w:val="14"/>
              </w:rPr>
            </w:pPr>
            <w:r>
              <w:rPr>
                <w:rFonts w:eastAsia="Calibri"/>
                <w:sz w:val="14"/>
                <w:szCs w:val="14"/>
              </w:rPr>
              <w:t>Nombre</w:t>
            </w:r>
          </w:p>
          <w:p w14:paraId="7808493A" w14:textId="77777777" w:rsidR="0090299C" w:rsidRDefault="00C03040">
            <w:pPr>
              <w:widowControl w:val="0"/>
              <w:spacing w:after="0" w:line="240" w:lineRule="auto"/>
              <w:rPr>
                <w:sz w:val="14"/>
                <w:szCs w:val="14"/>
              </w:rPr>
            </w:pPr>
            <w:proofErr w:type="gramStart"/>
            <w:r>
              <w:rPr>
                <w:rFonts w:eastAsia="Calibri"/>
                <w:sz w:val="14"/>
                <w:szCs w:val="14"/>
              </w:rPr>
              <w:t>d’unités</w:t>
            </w:r>
            <w:proofErr w:type="gramEnd"/>
            <w:r>
              <w:rPr>
                <w:rFonts w:eastAsia="Calibri"/>
                <w:sz w:val="14"/>
                <w:szCs w:val="14"/>
              </w:rPr>
              <w:t xml:space="preserve"> /</w:t>
            </w:r>
          </w:p>
          <w:p w14:paraId="70EE33CC" w14:textId="77777777" w:rsidR="0090299C" w:rsidRDefault="00C03040">
            <w:pPr>
              <w:widowControl w:val="0"/>
              <w:spacing w:after="0" w:line="240" w:lineRule="auto"/>
              <w:rPr>
                <w:sz w:val="14"/>
                <w:szCs w:val="14"/>
              </w:rPr>
            </w:pPr>
            <w:r>
              <w:rPr>
                <w:rFonts w:eastAsia="Calibri"/>
                <w:sz w:val="14"/>
                <w:szCs w:val="14"/>
              </w:rPr>
              <w:t>Périodicité</w:t>
            </w:r>
          </w:p>
          <w:p w14:paraId="7D461184" w14:textId="77777777" w:rsidR="0090299C" w:rsidRDefault="00C03040">
            <w:pPr>
              <w:widowControl w:val="0"/>
              <w:spacing w:after="0" w:line="240" w:lineRule="auto"/>
              <w:rPr>
                <w:sz w:val="14"/>
                <w:szCs w:val="14"/>
              </w:rPr>
            </w:pPr>
            <w:proofErr w:type="gramStart"/>
            <w:r>
              <w:rPr>
                <w:rFonts w:eastAsia="Calibri"/>
                <w:sz w:val="14"/>
                <w:szCs w:val="14"/>
              </w:rPr>
              <w:t>recommandée</w:t>
            </w:r>
            <w:proofErr w:type="gramEnd"/>
          </w:p>
        </w:tc>
        <w:tc>
          <w:tcPr>
            <w:tcW w:w="853" w:type="dxa"/>
          </w:tcPr>
          <w:p w14:paraId="041AF143" w14:textId="77777777" w:rsidR="0090299C" w:rsidRDefault="00C03040">
            <w:pPr>
              <w:widowControl w:val="0"/>
              <w:spacing w:after="0" w:line="240" w:lineRule="auto"/>
              <w:rPr>
                <w:sz w:val="14"/>
                <w:szCs w:val="14"/>
              </w:rPr>
            </w:pPr>
            <w:r>
              <w:rPr>
                <w:rFonts w:eastAsia="Calibri"/>
                <w:sz w:val="14"/>
                <w:szCs w:val="14"/>
              </w:rPr>
              <w:t>Total</w:t>
            </w:r>
          </w:p>
          <w:p w14:paraId="18A65801" w14:textId="77777777" w:rsidR="0090299C" w:rsidRDefault="00C03040">
            <w:pPr>
              <w:widowControl w:val="0"/>
              <w:spacing w:after="0" w:line="240" w:lineRule="auto"/>
              <w:rPr>
                <w:sz w:val="14"/>
                <w:szCs w:val="14"/>
              </w:rPr>
            </w:pPr>
            <w:r>
              <w:rPr>
                <w:rFonts w:eastAsia="Calibri"/>
                <w:sz w:val="14"/>
                <w:szCs w:val="14"/>
              </w:rPr>
              <w:t>(</w:t>
            </w:r>
            <w:proofErr w:type="gramStart"/>
            <w:r>
              <w:rPr>
                <w:rFonts w:eastAsia="Calibri"/>
                <w:sz w:val="14"/>
                <w:szCs w:val="14"/>
              </w:rPr>
              <w:t>heures</w:t>
            </w:r>
            <w:proofErr w:type="gramEnd"/>
            <w:r>
              <w:rPr>
                <w:rFonts w:eastAsia="Calibri"/>
                <w:sz w:val="14"/>
                <w:szCs w:val="14"/>
              </w:rPr>
              <w:t xml:space="preserve"> de</w:t>
            </w:r>
          </w:p>
          <w:p w14:paraId="408AEED6" w14:textId="77777777" w:rsidR="0090299C" w:rsidRDefault="00C03040">
            <w:pPr>
              <w:widowControl w:val="0"/>
              <w:spacing w:after="0" w:line="240" w:lineRule="auto"/>
              <w:rPr>
                <w:sz w:val="14"/>
                <w:szCs w:val="14"/>
              </w:rPr>
            </w:pPr>
            <w:proofErr w:type="gramStart"/>
            <w:r>
              <w:rPr>
                <w:rFonts w:eastAsia="Calibri"/>
                <w:sz w:val="14"/>
                <w:szCs w:val="14"/>
              </w:rPr>
              <w:t>référence</w:t>
            </w:r>
            <w:proofErr w:type="gramEnd"/>
            <w:r>
              <w:rPr>
                <w:rFonts w:eastAsia="Calibri"/>
                <w:sz w:val="14"/>
                <w:szCs w:val="14"/>
              </w:rPr>
              <w:t>)</w:t>
            </w:r>
          </w:p>
        </w:tc>
        <w:tc>
          <w:tcPr>
            <w:tcW w:w="788" w:type="dxa"/>
          </w:tcPr>
          <w:p w14:paraId="2CF964BB" w14:textId="77777777" w:rsidR="0090299C" w:rsidRDefault="00C03040">
            <w:pPr>
              <w:widowControl w:val="0"/>
              <w:spacing w:after="0" w:line="240" w:lineRule="auto"/>
              <w:rPr>
                <w:sz w:val="14"/>
                <w:szCs w:val="14"/>
              </w:rPr>
            </w:pPr>
            <w:r>
              <w:rPr>
                <w:rFonts w:eastAsia="Calibri"/>
                <w:sz w:val="14"/>
                <w:szCs w:val="14"/>
              </w:rPr>
              <w:t>Unité de</w:t>
            </w:r>
          </w:p>
          <w:p w14:paraId="769A1D5E" w14:textId="77777777" w:rsidR="0090299C" w:rsidRDefault="00C03040">
            <w:pPr>
              <w:widowControl w:val="0"/>
              <w:spacing w:after="0" w:line="240" w:lineRule="auto"/>
              <w:rPr>
                <w:sz w:val="14"/>
                <w:szCs w:val="14"/>
              </w:rPr>
            </w:pPr>
            <w:proofErr w:type="gramStart"/>
            <w:r>
              <w:rPr>
                <w:rFonts w:eastAsia="Calibri"/>
                <w:sz w:val="14"/>
                <w:szCs w:val="14"/>
              </w:rPr>
              <w:t>temps</w:t>
            </w:r>
            <w:proofErr w:type="gramEnd"/>
          </w:p>
        </w:tc>
        <w:tc>
          <w:tcPr>
            <w:tcW w:w="964" w:type="dxa"/>
          </w:tcPr>
          <w:p w14:paraId="11658B46" w14:textId="77777777" w:rsidR="0090299C" w:rsidRDefault="00C03040">
            <w:pPr>
              <w:widowControl w:val="0"/>
              <w:spacing w:after="0" w:line="240" w:lineRule="auto"/>
              <w:rPr>
                <w:sz w:val="14"/>
                <w:szCs w:val="14"/>
              </w:rPr>
            </w:pPr>
            <w:r>
              <w:rPr>
                <w:rFonts w:eastAsia="Calibri"/>
                <w:sz w:val="14"/>
                <w:szCs w:val="14"/>
              </w:rPr>
              <w:t>Nombre</w:t>
            </w:r>
          </w:p>
          <w:p w14:paraId="7F9CB419" w14:textId="77777777" w:rsidR="0090299C" w:rsidRDefault="00C03040">
            <w:pPr>
              <w:widowControl w:val="0"/>
              <w:spacing w:after="0" w:line="240" w:lineRule="auto"/>
              <w:rPr>
                <w:sz w:val="14"/>
                <w:szCs w:val="14"/>
              </w:rPr>
            </w:pPr>
            <w:proofErr w:type="gramStart"/>
            <w:r>
              <w:rPr>
                <w:rFonts w:eastAsia="Calibri"/>
                <w:sz w:val="14"/>
                <w:szCs w:val="14"/>
              </w:rPr>
              <w:t>d’unités</w:t>
            </w:r>
            <w:proofErr w:type="gramEnd"/>
            <w:r>
              <w:rPr>
                <w:rFonts w:eastAsia="Calibri"/>
                <w:sz w:val="14"/>
                <w:szCs w:val="14"/>
              </w:rPr>
              <w:t xml:space="preserve"> /</w:t>
            </w:r>
          </w:p>
          <w:p w14:paraId="39B621B6" w14:textId="77777777" w:rsidR="0090299C" w:rsidRDefault="00C03040">
            <w:pPr>
              <w:widowControl w:val="0"/>
              <w:spacing w:after="0" w:line="240" w:lineRule="auto"/>
              <w:rPr>
                <w:sz w:val="14"/>
                <w:szCs w:val="14"/>
              </w:rPr>
            </w:pPr>
            <w:r>
              <w:rPr>
                <w:rFonts w:eastAsia="Calibri"/>
                <w:sz w:val="14"/>
                <w:szCs w:val="14"/>
              </w:rPr>
              <w:t>Périodicité</w:t>
            </w:r>
          </w:p>
          <w:p w14:paraId="1B381C0F" w14:textId="77777777" w:rsidR="0090299C" w:rsidRDefault="0090299C">
            <w:pPr>
              <w:widowControl w:val="0"/>
              <w:spacing w:after="0" w:line="240" w:lineRule="auto"/>
              <w:rPr>
                <w:rFonts w:eastAsia="Calibri"/>
              </w:rPr>
            </w:pPr>
          </w:p>
        </w:tc>
        <w:tc>
          <w:tcPr>
            <w:tcW w:w="619" w:type="dxa"/>
          </w:tcPr>
          <w:p w14:paraId="5299363A" w14:textId="77777777" w:rsidR="0090299C" w:rsidRDefault="00C03040">
            <w:pPr>
              <w:widowControl w:val="0"/>
              <w:spacing w:after="0" w:line="240" w:lineRule="auto"/>
              <w:rPr>
                <w:sz w:val="14"/>
                <w:szCs w:val="14"/>
              </w:rPr>
            </w:pPr>
            <w:r>
              <w:rPr>
                <w:rFonts w:eastAsia="Calibri"/>
                <w:sz w:val="14"/>
                <w:szCs w:val="14"/>
              </w:rPr>
              <w:t>Total</w:t>
            </w:r>
          </w:p>
        </w:tc>
      </w:tr>
      <w:tr w:rsidR="0090299C" w14:paraId="3586B38F" w14:textId="77777777">
        <w:tc>
          <w:tcPr>
            <w:tcW w:w="909" w:type="dxa"/>
          </w:tcPr>
          <w:p w14:paraId="674071F3" w14:textId="77777777" w:rsidR="0090299C" w:rsidRDefault="0090299C">
            <w:pPr>
              <w:widowControl w:val="0"/>
              <w:spacing w:after="0" w:line="240" w:lineRule="auto"/>
              <w:rPr>
                <w:rFonts w:ascii="Calibri" w:eastAsia="Calibri" w:hAnsi="Calibri"/>
              </w:rPr>
            </w:pPr>
          </w:p>
        </w:tc>
        <w:tc>
          <w:tcPr>
            <w:tcW w:w="964" w:type="dxa"/>
          </w:tcPr>
          <w:p w14:paraId="2E606D4A" w14:textId="77777777" w:rsidR="0090299C" w:rsidRDefault="0090299C">
            <w:pPr>
              <w:widowControl w:val="0"/>
              <w:spacing w:after="0" w:line="240" w:lineRule="auto"/>
              <w:rPr>
                <w:rFonts w:ascii="Calibri" w:eastAsia="Calibri" w:hAnsi="Calibri"/>
              </w:rPr>
            </w:pPr>
          </w:p>
        </w:tc>
        <w:tc>
          <w:tcPr>
            <w:tcW w:w="1070" w:type="dxa"/>
          </w:tcPr>
          <w:p w14:paraId="444D8CF2" w14:textId="77777777" w:rsidR="0090299C" w:rsidRDefault="0090299C">
            <w:pPr>
              <w:widowControl w:val="0"/>
              <w:spacing w:after="0" w:line="240" w:lineRule="auto"/>
              <w:rPr>
                <w:rFonts w:ascii="Calibri" w:eastAsia="Calibri" w:hAnsi="Calibri"/>
              </w:rPr>
            </w:pPr>
          </w:p>
        </w:tc>
        <w:tc>
          <w:tcPr>
            <w:tcW w:w="853" w:type="dxa"/>
          </w:tcPr>
          <w:p w14:paraId="6E24EA51" w14:textId="77777777" w:rsidR="0090299C" w:rsidRDefault="0090299C">
            <w:pPr>
              <w:widowControl w:val="0"/>
              <w:spacing w:after="0" w:line="240" w:lineRule="auto"/>
              <w:rPr>
                <w:rFonts w:ascii="Calibri" w:eastAsia="Calibri" w:hAnsi="Calibri"/>
              </w:rPr>
            </w:pPr>
          </w:p>
        </w:tc>
        <w:tc>
          <w:tcPr>
            <w:tcW w:w="967" w:type="dxa"/>
          </w:tcPr>
          <w:p w14:paraId="193E0D6E" w14:textId="77777777" w:rsidR="0090299C" w:rsidRDefault="0090299C">
            <w:pPr>
              <w:widowControl w:val="0"/>
              <w:spacing w:after="0" w:line="240" w:lineRule="auto"/>
              <w:rPr>
                <w:rFonts w:ascii="Calibri" w:eastAsia="Calibri" w:hAnsi="Calibri"/>
              </w:rPr>
            </w:pPr>
          </w:p>
        </w:tc>
        <w:tc>
          <w:tcPr>
            <w:tcW w:w="1078" w:type="dxa"/>
          </w:tcPr>
          <w:p w14:paraId="7C95ECEE" w14:textId="77777777" w:rsidR="0090299C" w:rsidRDefault="0090299C">
            <w:pPr>
              <w:widowControl w:val="0"/>
              <w:spacing w:after="0" w:line="240" w:lineRule="auto"/>
              <w:rPr>
                <w:rFonts w:ascii="Calibri" w:eastAsia="Calibri" w:hAnsi="Calibri"/>
              </w:rPr>
            </w:pPr>
          </w:p>
        </w:tc>
        <w:tc>
          <w:tcPr>
            <w:tcW w:w="853" w:type="dxa"/>
          </w:tcPr>
          <w:p w14:paraId="1EAF5A9A" w14:textId="77777777" w:rsidR="0090299C" w:rsidRDefault="0090299C">
            <w:pPr>
              <w:widowControl w:val="0"/>
              <w:spacing w:after="0" w:line="240" w:lineRule="auto"/>
              <w:rPr>
                <w:rFonts w:ascii="Calibri" w:eastAsia="Calibri" w:hAnsi="Calibri"/>
              </w:rPr>
            </w:pPr>
          </w:p>
        </w:tc>
        <w:tc>
          <w:tcPr>
            <w:tcW w:w="788" w:type="dxa"/>
          </w:tcPr>
          <w:p w14:paraId="48338E67" w14:textId="77777777" w:rsidR="0090299C" w:rsidRDefault="0090299C">
            <w:pPr>
              <w:widowControl w:val="0"/>
              <w:spacing w:after="0" w:line="240" w:lineRule="auto"/>
              <w:rPr>
                <w:rFonts w:ascii="Calibri" w:eastAsia="Calibri" w:hAnsi="Calibri"/>
              </w:rPr>
            </w:pPr>
          </w:p>
        </w:tc>
        <w:tc>
          <w:tcPr>
            <w:tcW w:w="964" w:type="dxa"/>
          </w:tcPr>
          <w:p w14:paraId="7CEAD1B1" w14:textId="77777777" w:rsidR="0090299C" w:rsidRDefault="0090299C">
            <w:pPr>
              <w:widowControl w:val="0"/>
              <w:spacing w:after="0" w:line="240" w:lineRule="auto"/>
              <w:rPr>
                <w:rFonts w:ascii="Calibri" w:eastAsia="Calibri" w:hAnsi="Calibri"/>
              </w:rPr>
            </w:pPr>
          </w:p>
        </w:tc>
        <w:tc>
          <w:tcPr>
            <w:tcW w:w="619" w:type="dxa"/>
          </w:tcPr>
          <w:p w14:paraId="577B700E" w14:textId="77777777" w:rsidR="0090299C" w:rsidRDefault="0090299C">
            <w:pPr>
              <w:widowControl w:val="0"/>
              <w:spacing w:after="0" w:line="240" w:lineRule="auto"/>
              <w:rPr>
                <w:rFonts w:ascii="Calibri" w:eastAsia="Calibri" w:hAnsi="Calibri"/>
              </w:rPr>
            </w:pPr>
          </w:p>
        </w:tc>
      </w:tr>
      <w:tr w:rsidR="0090299C" w14:paraId="15680269" w14:textId="77777777">
        <w:tc>
          <w:tcPr>
            <w:tcW w:w="909" w:type="dxa"/>
          </w:tcPr>
          <w:p w14:paraId="0BA35310" w14:textId="77777777" w:rsidR="0090299C" w:rsidRDefault="0090299C">
            <w:pPr>
              <w:widowControl w:val="0"/>
              <w:spacing w:after="0" w:line="240" w:lineRule="auto"/>
              <w:rPr>
                <w:rFonts w:ascii="Calibri" w:eastAsia="Calibri" w:hAnsi="Calibri"/>
              </w:rPr>
            </w:pPr>
          </w:p>
        </w:tc>
        <w:tc>
          <w:tcPr>
            <w:tcW w:w="964" w:type="dxa"/>
          </w:tcPr>
          <w:p w14:paraId="13B645B0" w14:textId="77777777" w:rsidR="0090299C" w:rsidRDefault="0090299C">
            <w:pPr>
              <w:widowControl w:val="0"/>
              <w:spacing w:after="0" w:line="240" w:lineRule="auto"/>
              <w:rPr>
                <w:rFonts w:ascii="Calibri" w:eastAsia="Calibri" w:hAnsi="Calibri"/>
              </w:rPr>
            </w:pPr>
          </w:p>
        </w:tc>
        <w:tc>
          <w:tcPr>
            <w:tcW w:w="1070" w:type="dxa"/>
          </w:tcPr>
          <w:p w14:paraId="529C1F3E" w14:textId="77777777" w:rsidR="0090299C" w:rsidRDefault="0090299C">
            <w:pPr>
              <w:widowControl w:val="0"/>
              <w:spacing w:after="0" w:line="240" w:lineRule="auto"/>
              <w:rPr>
                <w:rFonts w:ascii="Calibri" w:eastAsia="Calibri" w:hAnsi="Calibri"/>
              </w:rPr>
            </w:pPr>
          </w:p>
        </w:tc>
        <w:tc>
          <w:tcPr>
            <w:tcW w:w="853" w:type="dxa"/>
          </w:tcPr>
          <w:p w14:paraId="4A67711A" w14:textId="77777777" w:rsidR="0090299C" w:rsidRDefault="0090299C">
            <w:pPr>
              <w:widowControl w:val="0"/>
              <w:spacing w:after="0" w:line="240" w:lineRule="auto"/>
              <w:rPr>
                <w:rFonts w:ascii="Calibri" w:eastAsia="Calibri" w:hAnsi="Calibri"/>
              </w:rPr>
            </w:pPr>
          </w:p>
        </w:tc>
        <w:tc>
          <w:tcPr>
            <w:tcW w:w="967" w:type="dxa"/>
          </w:tcPr>
          <w:p w14:paraId="7D6ADBA4" w14:textId="77777777" w:rsidR="0090299C" w:rsidRDefault="0090299C">
            <w:pPr>
              <w:widowControl w:val="0"/>
              <w:spacing w:after="0" w:line="240" w:lineRule="auto"/>
              <w:rPr>
                <w:rFonts w:ascii="Calibri" w:eastAsia="Calibri" w:hAnsi="Calibri"/>
              </w:rPr>
            </w:pPr>
          </w:p>
        </w:tc>
        <w:tc>
          <w:tcPr>
            <w:tcW w:w="1078" w:type="dxa"/>
          </w:tcPr>
          <w:p w14:paraId="077923AF" w14:textId="77777777" w:rsidR="0090299C" w:rsidRDefault="0090299C">
            <w:pPr>
              <w:widowControl w:val="0"/>
              <w:spacing w:after="0" w:line="240" w:lineRule="auto"/>
              <w:rPr>
                <w:rFonts w:ascii="Calibri" w:eastAsia="Calibri" w:hAnsi="Calibri"/>
              </w:rPr>
            </w:pPr>
          </w:p>
        </w:tc>
        <w:tc>
          <w:tcPr>
            <w:tcW w:w="853" w:type="dxa"/>
          </w:tcPr>
          <w:p w14:paraId="4D5AA2DA" w14:textId="77777777" w:rsidR="0090299C" w:rsidRDefault="0090299C">
            <w:pPr>
              <w:widowControl w:val="0"/>
              <w:spacing w:after="0" w:line="240" w:lineRule="auto"/>
              <w:rPr>
                <w:rFonts w:ascii="Calibri" w:eastAsia="Calibri" w:hAnsi="Calibri"/>
              </w:rPr>
            </w:pPr>
          </w:p>
        </w:tc>
        <w:tc>
          <w:tcPr>
            <w:tcW w:w="788" w:type="dxa"/>
          </w:tcPr>
          <w:p w14:paraId="29265A77" w14:textId="77777777" w:rsidR="0090299C" w:rsidRDefault="0090299C">
            <w:pPr>
              <w:widowControl w:val="0"/>
              <w:spacing w:after="0" w:line="240" w:lineRule="auto"/>
              <w:rPr>
                <w:rFonts w:ascii="Calibri" w:eastAsia="Calibri" w:hAnsi="Calibri"/>
              </w:rPr>
            </w:pPr>
          </w:p>
        </w:tc>
        <w:tc>
          <w:tcPr>
            <w:tcW w:w="964" w:type="dxa"/>
          </w:tcPr>
          <w:p w14:paraId="3F6955D5" w14:textId="77777777" w:rsidR="0090299C" w:rsidRDefault="0090299C">
            <w:pPr>
              <w:widowControl w:val="0"/>
              <w:spacing w:after="0" w:line="240" w:lineRule="auto"/>
              <w:rPr>
                <w:rFonts w:ascii="Calibri" w:eastAsia="Calibri" w:hAnsi="Calibri"/>
              </w:rPr>
            </w:pPr>
          </w:p>
        </w:tc>
        <w:tc>
          <w:tcPr>
            <w:tcW w:w="619" w:type="dxa"/>
          </w:tcPr>
          <w:p w14:paraId="470E949C" w14:textId="77777777" w:rsidR="0090299C" w:rsidRDefault="0090299C">
            <w:pPr>
              <w:widowControl w:val="0"/>
              <w:spacing w:after="0" w:line="240" w:lineRule="auto"/>
              <w:rPr>
                <w:rFonts w:ascii="Calibri" w:eastAsia="Calibri" w:hAnsi="Calibri"/>
              </w:rPr>
            </w:pPr>
          </w:p>
        </w:tc>
      </w:tr>
    </w:tbl>
    <w:p w14:paraId="52313289" w14:textId="77777777" w:rsidR="0090299C" w:rsidRDefault="0090299C"/>
    <w:p w14:paraId="73173860" w14:textId="73645955" w:rsidR="00644A1B" w:rsidRDefault="00644A1B">
      <w:r w:rsidRPr="00644A1B">
        <w:rPr>
          <w:b/>
          <w:bCs/>
          <w:i/>
          <w:iCs/>
        </w:rPr>
        <w:t>Retour d’expériences</w:t>
      </w:r>
      <w:r>
        <w:t> :</w:t>
      </w:r>
    </w:p>
    <w:p w14:paraId="446C9B0B" w14:textId="381E079F" w:rsidR="0090299C" w:rsidRDefault="00C03040">
      <w:r>
        <w:t xml:space="preserve">De manière générale, il est constaté une </w:t>
      </w:r>
      <w:r w:rsidRPr="00644A1B">
        <w:rPr>
          <w:b/>
          <w:bCs/>
          <w:i/>
          <w:iCs/>
        </w:rPr>
        <w:t>part trop faible d’heures consacrées</w:t>
      </w:r>
      <w:r>
        <w:t xml:space="preserve"> à la mission CSPS en phase conception.</w:t>
      </w:r>
    </w:p>
    <w:p w14:paraId="1584D6B5" w14:textId="77777777" w:rsidR="0090299C" w:rsidRPr="00644A1B" w:rsidRDefault="00C03040">
      <w:pPr>
        <w:rPr>
          <w:b/>
          <w:bCs/>
          <w:i/>
          <w:iCs/>
        </w:rPr>
      </w:pPr>
      <w:r>
        <w:t xml:space="preserve">Le CSPS est souvent destinataire de documents </w:t>
      </w:r>
      <w:r w:rsidRPr="00644A1B">
        <w:rPr>
          <w:b/>
          <w:bCs/>
          <w:i/>
          <w:iCs/>
        </w:rPr>
        <w:t>qui ne sont pas directement en rapport avec sa mission.</w:t>
      </w:r>
    </w:p>
    <w:p w14:paraId="242D8BD6" w14:textId="77777777" w:rsidR="0090299C" w:rsidRDefault="00C03040">
      <w:r>
        <w:t xml:space="preserve">Le projet est souvent </w:t>
      </w:r>
      <w:r w:rsidRPr="00644A1B">
        <w:rPr>
          <w:b/>
          <w:bCs/>
          <w:i/>
          <w:iCs/>
        </w:rPr>
        <w:t>trop avancé pour que ses remarques</w:t>
      </w:r>
      <w:r>
        <w:t>, suggestions, propositions puissent être prises pleinement en compte.</w:t>
      </w:r>
    </w:p>
    <w:p w14:paraId="025A5F6C" w14:textId="77777777" w:rsidR="0090299C" w:rsidRDefault="00C03040">
      <w:r>
        <w:t xml:space="preserve">Une </w:t>
      </w:r>
      <w:r w:rsidRPr="00644A1B">
        <w:rPr>
          <w:b/>
          <w:bCs/>
          <w:i/>
          <w:iCs/>
        </w:rPr>
        <w:t>réunion spécifique en phase APS animée par le CSPS est souhaitable</w:t>
      </w:r>
      <w:r>
        <w:t xml:space="preserve"> pour aborder suffisamment tôt les problématiques de conception des bâtiments, des moyens constructifs, des conditions de mise en place des moyens communs…</w:t>
      </w:r>
    </w:p>
    <w:p w14:paraId="600B5B12" w14:textId="77777777" w:rsidR="0090299C" w:rsidRDefault="00C03040">
      <w:r>
        <w:t xml:space="preserve">En </w:t>
      </w:r>
      <w:r w:rsidRPr="00644A1B">
        <w:rPr>
          <w:b/>
          <w:bCs/>
          <w:i/>
          <w:iCs/>
        </w:rPr>
        <w:t>phase réalisation, les remarques du CSPS devraient figurer sur les comptes rendus de réunions</w:t>
      </w:r>
      <w:r>
        <w:t xml:space="preserve"> de chantier du MOE pour être suivies au même titre que l’avancement des travaux. </w:t>
      </w:r>
    </w:p>
    <w:p w14:paraId="2EB19B28" w14:textId="77777777" w:rsidR="0090299C" w:rsidRDefault="0090299C"/>
    <w:p w14:paraId="6E9A214C" w14:textId="77777777" w:rsidR="0090299C" w:rsidRDefault="0090299C"/>
    <w:p w14:paraId="29FC63A9" w14:textId="77777777" w:rsidR="0090299C" w:rsidRDefault="00C03040">
      <w:r>
        <w:rPr>
          <w:b/>
          <w:bCs/>
        </w:rPr>
        <w:t>L’OPPBTP</w:t>
      </w:r>
      <w:r>
        <w:t xml:space="preserve"> a créé un site dédié à la coordination SPS à l’attention de tous les acteurs concernés :</w:t>
      </w:r>
    </w:p>
    <w:p w14:paraId="52881865" w14:textId="77777777" w:rsidR="0090299C" w:rsidRDefault="00C03040">
      <w:hyperlink r:id="rId16">
        <w:r>
          <w:rPr>
            <w:rStyle w:val="LienInternet"/>
          </w:rPr>
          <w:t>Le site dédié à la CSPS</w:t>
        </w:r>
      </w:hyperlink>
      <w:r>
        <w:t xml:space="preserve"> </w:t>
      </w:r>
    </w:p>
    <w:p w14:paraId="4A1CB7E7" w14:textId="77777777" w:rsidR="0090299C" w:rsidRDefault="00C03040">
      <w:pPr>
        <w:pStyle w:val="Corpsdetexte"/>
        <w:spacing w:after="160" w:line="259" w:lineRule="auto"/>
      </w:pPr>
      <w:r>
        <w:rPr>
          <w:rStyle w:val="Accentuationforte"/>
          <w:rFonts w:ascii="Work Sans;Helvetica;sans-serif" w:hAnsi="Work Sans;Helvetica;sans-serif"/>
          <w:color w:val="000000"/>
          <w:sz w:val="21"/>
        </w:rPr>
        <w:t>« Bienvenue sur le site de l’OPPBTP dédié exclusivement à la coordination SPS !</w:t>
      </w:r>
    </w:p>
    <w:p w14:paraId="4AC7F142" w14:textId="77777777" w:rsidR="0090299C" w:rsidRDefault="00C03040">
      <w:pPr>
        <w:pStyle w:val="Corpsdetexte"/>
        <w:spacing w:after="360" w:line="360" w:lineRule="auto"/>
        <w:rPr>
          <w:rFonts w:ascii="Work Sans;Helvetica;sans-serif" w:hAnsi="Work Sans;Helvetica;sans-serif"/>
          <w:color w:val="000000"/>
          <w:sz w:val="21"/>
        </w:rPr>
      </w:pPr>
      <w:r>
        <w:rPr>
          <w:rFonts w:ascii="Work Sans;Helvetica;sans-serif" w:hAnsi="Work Sans;Helvetica;sans-serif"/>
          <w:color w:val="000000"/>
          <w:sz w:val="21"/>
        </w:rPr>
        <w:t>Que vous soyez Coordonnateur SPS ou un autre acteur dans l’acte de construire, retrouvez ici toutes les informations, documents et outils publiés par l’OPPBTP et ses partenaires qui vous aideront dans la mise en œuvre efficace d’une mission CSPS à forte valeur ajoutée. »</w:t>
      </w:r>
    </w:p>
    <w:p w14:paraId="737F50BB" w14:textId="77777777" w:rsidR="0090299C" w:rsidRDefault="0090299C"/>
    <w:sectPr w:rsidR="0090299C">
      <w:footerReference w:type="default" r:id="rId17"/>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EC01" w14:textId="77777777" w:rsidR="00C03040" w:rsidRDefault="00C03040">
      <w:pPr>
        <w:spacing w:after="0" w:line="240" w:lineRule="auto"/>
      </w:pPr>
      <w:r>
        <w:separator/>
      </w:r>
    </w:p>
  </w:endnote>
  <w:endnote w:type="continuationSeparator" w:id="0">
    <w:p w14:paraId="43360588" w14:textId="77777777" w:rsidR="00C03040" w:rsidRDefault="00C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Helvetica;sans-serif">
    <w:altName w:val="Arial"/>
    <w:panose1 w:val="00000000000000000000"/>
    <w:charset w:val="00"/>
    <w:family w:val="roman"/>
    <w:notTrueType/>
    <w:pitch w:val="default"/>
  </w:font>
  <w:font w:name="Work Sans;Helvetica;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EC68" w14:textId="44C06EF7" w:rsidR="0090299C" w:rsidRPr="00311EDC" w:rsidRDefault="00311EDC">
    <w:pPr>
      <w:pStyle w:val="Pieddepage"/>
      <w:rPr>
        <w:b/>
        <w:bCs/>
        <w:i/>
        <w:iCs/>
      </w:rPr>
    </w:pPr>
    <w:r>
      <w:rPr>
        <w:b/>
        <w:bCs/>
        <w:i/>
        <w:iCs/>
      </w:rPr>
      <w:t xml:space="preserve">Note de </w:t>
    </w:r>
    <w:r w:rsidRPr="00311EDC">
      <w:rPr>
        <w:b/>
        <w:bCs/>
        <w:i/>
        <w:iCs/>
      </w:rPr>
      <w:t>Syntyhèse rédigée par D BONNET</w:t>
    </w:r>
    <w:r w:rsidR="00A1592A">
      <w:rPr>
        <w:b/>
        <w:bCs/>
        <w:i/>
        <w:iCs/>
      </w:rPr>
      <w:t xml:space="preserve">- </w:t>
    </w:r>
    <w:r w:rsidRPr="00311EDC">
      <w:rPr>
        <w:b/>
        <w:bCs/>
        <w:i/>
        <w:iCs/>
      </w:rPr>
      <w:t xml:space="preserve"> </w:t>
    </w:r>
    <w:r w:rsidR="00A1592A">
      <w:rPr>
        <w:b/>
        <w:bCs/>
        <w:i/>
        <w:iCs/>
      </w:rPr>
      <w:t xml:space="preserve">Novembre 2025 </w:t>
    </w:r>
    <w:r w:rsidRPr="00311EDC">
      <w:rPr>
        <w:b/>
        <w:bCs/>
        <w:i/>
        <w:iCs/>
      </w:rPr>
      <w:t>– CARSAT RA</w:t>
    </w:r>
    <w:r w:rsidR="00A1592A">
      <w:rPr>
        <w:b/>
        <w:bCs/>
        <w:i/>
        <w:iCs/>
      </w:rPr>
      <w:tab/>
    </w:r>
    <w:r w:rsidRPr="00311EDC">
      <w:rPr>
        <w:b/>
        <w:bCs/>
        <w:i/>
        <w:iCs/>
      </w:rPr>
      <w:t xml:space="preserve">Page </w:t>
    </w:r>
    <w:r w:rsidRPr="00311EDC">
      <w:rPr>
        <w:b/>
        <w:bCs/>
        <w:i/>
        <w:iCs/>
      </w:rPr>
      <w:fldChar w:fldCharType="begin"/>
    </w:r>
    <w:r w:rsidRPr="00311EDC">
      <w:rPr>
        <w:b/>
        <w:bCs/>
        <w:i/>
        <w:iCs/>
      </w:rPr>
      <w:instrText>PAGE  \* Arabic  \* MERGEFORMAT</w:instrText>
    </w:r>
    <w:r w:rsidRPr="00311EDC">
      <w:rPr>
        <w:b/>
        <w:bCs/>
        <w:i/>
        <w:iCs/>
      </w:rPr>
      <w:fldChar w:fldCharType="separate"/>
    </w:r>
    <w:r w:rsidRPr="00311EDC">
      <w:rPr>
        <w:b/>
        <w:bCs/>
        <w:i/>
        <w:iCs/>
      </w:rPr>
      <w:t>1</w:t>
    </w:r>
    <w:r w:rsidRPr="00311EDC">
      <w:rPr>
        <w:b/>
        <w:bCs/>
        <w:i/>
        <w:iCs/>
      </w:rPr>
      <w:fldChar w:fldCharType="end"/>
    </w:r>
    <w:r w:rsidRPr="00311EDC">
      <w:rPr>
        <w:b/>
        <w:bCs/>
        <w:i/>
        <w:iCs/>
      </w:rPr>
      <w:t xml:space="preserve"> sur </w:t>
    </w:r>
    <w:r w:rsidRPr="00311EDC">
      <w:rPr>
        <w:b/>
        <w:bCs/>
        <w:i/>
        <w:iCs/>
      </w:rPr>
      <w:fldChar w:fldCharType="begin"/>
    </w:r>
    <w:r w:rsidRPr="00311EDC">
      <w:rPr>
        <w:b/>
        <w:bCs/>
        <w:i/>
        <w:iCs/>
      </w:rPr>
      <w:instrText>NUMPAGES  \* Arabic  \* MERGEFORMAT</w:instrText>
    </w:r>
    <w:r w:rsidRPr="00311EDC">
      <w:rPr>
        <w:b/>
        <w:bCs/>
        <w:i/>
        <w:iCs/>
      </w:rPr>
      <w:fldChar w:fldCharType="separate"/>
    </w:r>
    <w:r w:rsidRPr="00311EDC">
      <w:rPr>
        <w:b/>
        <w:bCs/>
        <w:i/>
        <w:iCs/>
      </w:rPr>
      <w:t>2</w:t>
    </w:r>
    <w:r w:rsidRPr="00311EDC">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8796" w14:textId="77777777" w:rsidR="00C03040" w:rsidRDefault="00C03040">
      <w:pPr>
        <w:spacing w:after="0" w:line="240" w:lineRule="auto"/>
      </w:pPr>
      <w:r>
        <w:separator/>
      </w:r>
    </w:p>
  </w:footnote>
  <w:footnote w:type="continuationSeparator" w:id="0">
    <w:p w14:paraId="6713B444" w14:textId="77777777" w:rsidR="00C03040" w:rsidRDefault="00C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B44CD"/>
    <w:multiLevelType w:val="hybridMultilevel"/>
    <w:tmpl w:val="8D961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C05002"/>
    <w:multiLevelType w:val="hybridMultilevel"/>
    <w:tmpl w:val="44804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0643064">
    <w:abstractNumId w:val="0"/>
  </w:num>
  <w:num w:numId="2" w16cid:durableId="185900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9C"/>
    <w:rsid w:val="00311EDC"/>
    <w:rsid w:val="003E7D7D"/>
    <w:rsid w:val="0061628B"/>
    <w:rsid w:val="00644A1B"/>
    <w:rsid w:val="0090299C"/>
    <w:rsid w:val="00A1592A"/>
    <w:rsid w:val="00C0304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3DC0"/>
  <w15:docId w15:val="{B6EFB5BF-1468-47EB-9B97-1E7C3F4E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y-color">
    <w:name w:val="apply-color"/>
    <w:basedOn w:val="Policepardfaut"/>
    <w:qFormat/>
    <w:rsid w:val="0076287F"/>
  </w:style>
  <w:style w:type="character" w:customStyle="1" w:styleId="LienInternet">
    <w:name w:val="Lien Internet"/>
    <w:basedOn w:val="Policepardfaut"/>
    <w:uiPriority w:val="99"/>
    <w:unhideWhenUsed/>
    <w:rsid w:val="0076287F"/>
    <w:rPr>
      <w:color w:val="0000FF"/>
      <w:u w:val="single"/>
    </w:rPr>
  </w:style>
  <w:style w:type="character" w:styleId="Mentionnonrsolue">
    <w:name w:val="Unresolved Mention"/>
    <w:basedOn w:val="Policepardfaut"/>
    <w:uiPriority w:val="99"/>
    <w:semiHidden/>
    <w:unhideWhenUsed/>
    <w:qFormat/>
    <w:rsid w:val="00CD43B6"/>
    <w:rPr>
      <w:color w:val="605E5C"/>
      <w:shd w:val="clear" w:color="auto" w:fill="E1DFDD"/>
    </w:rPr>
  </w:style>
  <w:style w:type="character" w:customStyle="1" w:styleId="PieddepageCar">
    <w:name w:val="Pied de page Car"/>
    <w:basedOn w:val="Policepardfaut"/>
    <w:link w:val="Pieddepage"/>
    <w:uiPriority w:val="99"/>
    <w:qFormat/>
    <w:rsid w:val="009B2E2A"/>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customStyle="1" w:styleId="En-tteetpieddepage">
    <w:name w:val="En-tête et pied de page"/>
    <w:basedOn w:val="Normal"/>
    <w:qFormat/>
  </w:style>
  <w:style w:type="paragraph" w:styleId="Pieddepage">
    <w:name w:val="footer"/>
    <w:basedOn w:val="Normal"/>
    <w:link w:val="PieddepageCar"/>
    <w:uiPriority w:val="99"/>
    <w:unhideWhenUsed/>
    <w:rsid w:val="009B2E2A"/>
    <w:pPr>
      <w:tabs>
        <w:tab w:val="center" w:pos="4536"/>
        <w:tab w:val="right" w:pos="9072"/>
      </w:tabs>
      <w:spacing w:after="0" w:line="240" w:lineRule="auto"/>
    </w:pPr>
  </w:style>
  <w:style w:type="table" w:styleId="Grilledutableau">
    <w:name w:val="Table Grid"/>
    <w:basedOn w:val="TableauNormal"/>
    <w:uiPriority w:val="39"/>
    <w:rsid w:val="00EE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11EDC"/>
    <w:pPr>
      <w:tabs>
        <w:tab w:val="center" w:pos="4536"/>
        <w:tab w:val="right" w:pos="9072"/>
      </w:tabs>
      <w:spacing w:after="0" w:line="240" w:lineRule="auto"/>
    </w:pPr>
  </w:style>
  <w:style w:type="character" w:customStyle="1" w:styleId="En-tteCar">
    <w:name w:val="En-tête Car"/>
    <w:basedOn w:val="Policepardfaut"/>
    <w:link w:val="En-tte"/>
    <w:uiPriority w:val="99"/>
    <w:rsid w:val="00311EDC"/>
  </w:style>
  <w:style w:type="paragraph" w:styleId="Paragraphedeliste">
    <w:name w:val="List Paragraph"/>
    <w:basedOn w:val="Normal"/>
    <w:uiPriority w:val="34"/>
    <w:qFormat/>
    <w:rsid w:val="00311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rsat-ra.fr/files/live/sites/carsat-ra/files/pdf_illustrations/entreprise/Documentation/sp1127.pdf" TargetMode="External"/><Relationship Id="rId13" Type="http://schemas.openxmlformats.org/officeDocument/2006/relationships/hyperlink" Target="https://www.carsat-ra.fr/files/live/sites/carsat-ra/files/pdf_illustrations/entreprise/Documentation/BTP/MOA_CSPS/accompagnement%20coordination%20SPS/SuiviCsps_v13.xls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utique.afnor.org/fr-fr/norme/nf-p99600/coordonnateurs-sps-bonnes-pratiques-de-consultation-et-devaluation-des-offr/fa178410/1582" TargetMode="External"/><Relationship Id="rId12" Type="http://schemas.openxmlformats.org/officeDocument/2006/relationships/hyperlink" Target="https://www.carsat-ra.fr/files/live/sites/carsat-ra/files/pdf_illustrations/entreprise/Documentation/BTP/MOA_CSPS/accompagnement%20coordination%20SPS/Questionnaire-evaluation_outil_CSP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sps.preventionbtp.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sat-ra.fr/home/entreprise-nv/documentation-statistiques/la-documentation-en-prevention-1.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carsat-ra.fr/files/live/sites/carsat-ra/files/pdf_illustrations/entreprise/Documentation/BTP/MOA_CSPS/accompagnement%20coordination%20SPS/procedure_deblocage_referentie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rsat-ra.fr/files/live/sites/carsat-ra/files/pdf_illustrations/entreprise/Documentation/BTP/MOA_CSPS/accompagnement%20coordination%20SPS/referentiel_csps.xlsb"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Federation Francaise du Batiment</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BONNET Didier</dc:creator>
  <dc:description/>
  <cp:lastModifiedBy>Raoul Leconte</cp:lastModifiedBy>
  <cp:revision>8</cp:revision>
  <dcterms:created xsi:type="dcterms:W3CDTF">2025-03-04T09:25:00Z</dcterms:created>
  <dcterms:modified xsi:type="dcterms:W3CDTF">2026-02-06T15:02:00Z</dcterms:modified>
  <dc:language>fr-FR</dc:language>
</cp:coreProperties>
</file>